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45" w:rsidRDefault="00320240">
      <w:pPr>
        <w:rPr>
          <w:b/>
        </w:rPr>
      </w:pPr>
      <w:r>
        <w:rPr>
          <w:b/>
        </w:rPr>
        <w:t xml:space="preserve">Commons and Town Greens </w:t>
      </w:r>
      <w:r w:rsidR="00294967">
        <w:rPr>
          <w:b/>
        </w:rPr>
        <w:t xml:space="preserve">Special </w:t>
      </w:r>
      <w:r>
        <w:rPr>
          <w:b/>
        </w:rPr>
        <w:t xml:space="preserve">Sub Committee </w:t>
      </w:r>
      <w:r w:rsidR="00294967">
        <w:rPr>
          <w:b/>
        </w:rPr>
        <w:t>for VG105</w:t>
      </w:r>
    </w:p>
    <w:p w:rsidR="003E6A45" w:rsidRDefault="003E6A45">
      <w:r>
        <w:t xml:space="preserve">Meeting to be held on </w:t>
      </w:r>
      <w:r w:rsidR="00D52008">
        <w:t xml:space="preserve">Friday 26 April </w:t>
      </w:r>
      <w:r w:rsidR="00E714D3">
        <w:t>201</w:t>
      </w:r>
      <w:r w:rsidR="00320240">
        <w:t>3</w:t>
      </w:r>
      <w:r w:rsidR="00F67C05">
        <w:t xml:space="preserve"> </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tblGrid>
      <w:tr w:rsidR="003E6A45">
        <w:tc>
          <w:tcPr>
            <w:tcW w:w="3260" w:type="dxa"/>
          </w:tcPr>
          <w:p w:rsidR="003E6A45" w:rsidRDefault="003E6A45">
            <w:pPr>
              <w:pStyle w:val="BodyText"/>
            </w:pPr>
            <w:r>
              <w:t>Electoral Division affected:</w:t>
            </w:r>
          </w:p>
          <w:p w:rsidR="003E6A45" w:rsidRPr="00CD5D8E" w:rsidRDefault="00CD5D8E">
            <w:r>
              <w:t xml:space="preserve">Chorley Rural West </w:t>
            </w:r>
          </w:p>
        </w:tc>
      </w:tr>
    </w:tbl>
    <w:p w:rsidR="003E6A45" w:rsidRDefault="003E6A45">
      <w:pPr>
        <w:rPr>
          <w:u w:val="single"/>
        </w:rPr>
      </w:pPr>
    </w:p>
    <w:p w:rsidR="00320240" w:rsidRDefault="00320240" w:rsidP="00ED397D">
      <w:pPr>
        <w:rPr>
          <w:b/>
        </w:rPr>
      </w:pPr>
      <w:r>
        <w:rPr>
          <w:b/>
        </w:rPr>
        <w:t>Commons Act 2006</w:t>
      </w:r>
    </w:p>
    <w:p w:rsidR="00320240" w:rsidRDefault="00320240" w:rsidP="00ED397D">
      <w:pPr>
        <w:rPr>
          <w:b/>
        </w:rPr>
      </w:pPr>
      <w:r>
        <w:rPr>
          <w:b/>
        </w:rPr>
        <w:t xml:space="preserve">The Commons Registration (England) Regulations 2008 </w:t>
      </w:r>
    </w:p>
    <w:p w:rsidR="00320240" w:rsidRDefault="00320240" w:rsidP="00ED397D">
      <w:pPr>
        <w:rPr>
          <w:b/>
        </w:rPr>
      </w:pPr>
    </w:p>
    <w:p w:rsidR="003E6A45" w:rsidRPr="00AA16D5" w:rsidRDefault="006037AF" w:rsidP="00ED397D">
      <w:pPr>
        <w:rPr>
          <w:b/>
        </w:rPr>
      </w:pPr>
      <w:proofErr w:type="gramStart"/>
      <w:r>
        <w:rPr>
          <w:b/>
        </w:rPr>
        <w:t>Determination of a</w:t>
      </w:r>
      <w:r w:rsidR="00AA16D5" w:rsidRPr="00AA16D5">
        <w:rPr>
          <w:b/>
        </w:rPr>
        <w:t xml:space="preserve"> Vil</w:t>
      </w:r>
      <w:r w:rsidR="005D64E3">
        <w:rPr>
          <w:b/>
        </w:rPr>
        <w:t xml:space="preserve">lage Green Application </w:t>
      </w:r>
      <w:r>
        <w:rPr>
          <w:b/>
        </w:rPr>
        <w:t xml:space="preserve">Ref </w:t>
      </w:r>
      <w:r w:rsidR="005D64E3">
        <w:rPr>
          <w:b/>
        </w:rPr>
        <w:t>No.</w:t>
      </w:r>
      <w:proofErr w:type="gramEnd"/>
      <w:r w:rsidR="005D64E3">
        <w:rPr>
          <w:b/>
        </w:rPr>
        <w:t xml:space="preserve"> VG105</w:t>
      </w:r>
      <w:r w:rsidR="00AA16D5" w:rsidRPr="00AA16D5">
        <w:rPr>
          <w:b/>
        </w:rPr>
        <w:t xml:space="preserve"> relating to land at </w:t>
      </w:r>
      <w:r w:rsidR="005D64E3">
        <w:rPr>
          <w:b/>
        </w:rPr>
        <w:t>Bradley Lane Pond</w:t>
      </w:r>
      <w:r w:rsidR="003E3236">
        <w:rPr>
          <w:b/>
        </w:rPr>
        <w:t xml:space="preserve"> </w:t>
      </w:r>
      <w:r w:rsidR="005D64E3">
        <w:rPr>
          <w:b/>
        </w:rPr>
        <w:t xml:space="preserve">Field, </w:t>
      </w:r>
      <w:proofErr w:type="spellStart"/>
      <w:r w:rsidR="005D64E3">
        <w:rPr>
          <w:b/>
        </w:rPr>
        <w:t>Eccleston</w:t>
      </w:r>
      <w:proofErr w:type="spellEnd"/>
      <w:r w:rsidR="00AA16D5" w:rsidRPr="00AA16D5">
        <w:rPr>
          <w:b/>
        </w:rPr>
        <w:t xml:space="preserve"> </w:t>
      </w:r>
    </w:p>
    <w:p w:rsidR="003E6A45" w:rsidRDefault="00B068A6">
      <w:r>
        <w:t>(</w:t>
      </w:r>
      <w:r w:rsidR="00231648">
        <w:t>Appendices A and B</w:t>
      </w:r>
      <w:r w:rsidR="00134546">
        <w:t xml:space="preserve">, </w:t>
      </w:r>
      <w:proofErr w:type="spellStart"/>
      <w:r w:rsidR="00231648">
        <w:t>and</w:t>
      </w:r>
      <w:r w:rsidR="00134546">
        <w:t>the</w:t>
      </w:r>
      <w:proofErr w:type="spellEnd"/>
      <w:r w:rsidR="00D52008">
        <w:t xml:space="preserve"> </w:t>
      </w:r>
      <w:r w:rsidR="00320240">
        <w:t xml:space="preserve">Applicant's </w:t>
      </w:r>
      <w:r w:rsidR="00A401AE">
        <w:t>Bundle</w:t>
      </w:r>
      <w:r w:rsidR="00154576">
        <w:t xml:space="preserve"> </w:t>
      </w:r>
      <w:r w:rsidR="00320240">
        <w:t xml:space="preserve">and Objector's </w:t>
      </w:r>
      <w:r w:rsidR="00231648">
        <w:t xml:space="preserve">Bundle </w:t>
      </w:r>
      <w:r w:rsidR="00167414">
        <w:t>refer</w:t>
      </w:r>
      <w:r w:rsidR="006037AF">
        <w:t>)</w:t>
      </w:r>
    </w:p>
    <w:p w:rsidR="00320240" w:rsidRDefault="00320240"/>
    <w:p w:rsidR="003E6A45" w:rsidRDefault="003E6A45">
      <w:r>
        <w:t>Contact for further information:</w:t>
      </w:r>
    </w:p>
    <w:p w:rsidR="003E6A45" w:rsidRDefault="00AF5521">
      <w:r>
        <w:t xml:space="preserve">Miss </w:t>
      </w:r>
      <w:r w:rsidR="003E3236">
        <w:t>Ravinder Amrith</w:t>
      </w:r>
      <w:r w:rsidR="003E6A45">
        <w:t xml:space="preserve">, </w:t>
      </w:r>
      <w:r w:rsidR="00AA16D5">
        <w:t>01772 53</w:t>
      </w:r>
      <w:r w:rsidR="003E3236">
        <w:t>6098</w:t>
      </w:r>
      <w:r w:rsidR="003E6A45">
        <w:t xml:space="preserve">, </w:t>
      </w:r>
      <w:r w:rsidR="00AA16D5">
        <w:t>Office of Chief Executive</w:t>
      </w:r>
      <w:r w:rsidR="00772BBA">
        <w:t xml:space="preserve">, </w:t>
      </w:r>
    </w:p>
    <w:p w:rsidR="00772BBA" w:rsidRPr="00154576" w:rsidRDefault="009A4011">
      <w:pPr>
        <w:rPr>
          <w:b/>
        </w:rPr>
      </w:pPr>
      <w:hyperlink r:id="rId8" w:history="1">
        <w:r w:rsidR="00154576" w:rsidRPr="00154576">
          <w:rPr>
            <w:rStyle w:val="Hyperlink"/>
            <w:b w:val="0"/>
            <w:color w:val="auto"/>
            <w:u w:val="none"/>
          </w:rPr>
          <w:t>ravinder.amrith@lancashire.gov.uk</w:t>
        </w:r>
      </w:hyperlink>
    </w:p>
    <w:p w:rsidR="00154576" w:rsidRDefault="00154576"/>
    <w:p w:rsidR="00F67C05" w:rsidRPr="0070575F" w:rsidRDefault="00154576">
      <w:pPr>
        <w:rPr>
          <w:sz w:val="22"/>
          <w:szCs w:val="22"/>
        </w:rPr>
      </w:pPr>
      <w:r w:rsidRPr="0070575F">
        <w:rPr>
          <w:sz w:val="22"/>
          <w:szCs w:val="22"/>
        </w:rPr>
        <w:t>Please note</w:t>
      </w:r>
      <w:r w:rsidR="00F4109B">
        <w:rPr>
          <w:sz w:val="22"/>
          <w:szCs w:val="22"/>
        </w:rPr>
        <w:t>,</w:t>
      </w:r>
      <w:r w:rsidRPr="0070575F">
        <w:rPr>
          <w:sz w:val="22"/>
          <w:szCs w:val="22"/>
        </w:rPr>
        <w:t xml:space="preserve"> that due to </w:t>
      </w:r>
      <w:r w:rsidR="00F67C05" w:rsidRPr="0070575F">
        <w:rPr>
          <w:sz w:val="22"/>
          <w:szCs w:val="22"/>
        </w:rPr>
        <w:t xml:space="preserve">the </w:t>
      </w:r>
      <w:r w:rsidR="0070575F">
        <w:rPr>
          <w:sz w:val="22"/>
          <w:szCs w:val="22"/>
        </w:rPr>
        <w:t xml:space="preserve">size of the </w:t>
      </w:r>
      <w:r w:rsidR="00EC76BF">
        <w:rPr>
          <w:sz w:val="22"/>
          <w:szCs w:val="22"/>
        </w:rPr>
        <w:t>Applicant</w:t>
      </w:r>
      <w:r w:rsidR="00D83C11">
        <w:rPr>
          <w:sz w:val="22"/>
          <w:szCs w:val="22"/>
        </w:rPr>
        <w:t>'s</w:t>
      </w:r>
      <w:r w:rsidR="00A401AE">
        <w:rPr>
          <w:sz w:val="22"/>
          <w:szCs w:val="22"/>
        </w:rPr>
        <w:t xml:space="preserve"> </w:t>
      </w:r>
      <w:r w:rsidR="00D83C11">
        <w:rPr>
          <w:sz w:val="22"/>
          <w:szCs w:val="22"/>
        </w:rPr>
        <w:t xml:space="preserve">Bundle </w:t>
      </w:r>
      <w:r w:rsidR="00A401AE">
        <w:rPr>
          <w:sz w:val="22"/>
          <w:szCs w:val="22"/>
        </w:rPr>
        <w:t>and Objector</w:t>
      </w:r>
      <w:r w:rsidR="00D83C11">
        <w:rPr>
          <w:sz w:val="22"/>
          <w:szCs w:val="22"/>
        </w:rPr>
        <w:t>'s</w:t>
      </w:r>
      <w:r w:rsidR="00A401AE">
        <w:rPr>
          <w:sz w:val="22"/>
          <w:szCs w:val="22"/>
        </w:rPr>
        <w:t xml:space="preserve"> </w:t>
      </w:r>
      <w:r w:rsidR="0086671B">
        <w:rPr>
          <w:sz w:val="22"/>
          <w:szCs w:val="22"/>
        </w:rPr>
        <w:t>B</w:t>
      </w:r>
      <w:r w:rsidR="00A401AE">
        <w:rPr>
          <w:sz w:val="22"/>
          <w:szCs w:val="22"/>
        </w:rPr>
        <w:t>undle of evidence</w:t>
      </w:r>
      <w:r w:rsidRPr="0070575F">
        <w:rPr>
          <w:sz w:val="22"/>
          <w:szCs w:val="22"/>
        </w:rPr>
        <w:t xml:space="preserve">, </w:t>
      </w:r>
      <w:r w:rsidR="00F4109B">
        <w:rPr>
          <w:sz w:val="22"/>
          <w:szCs w:val="22"/>
        </w:rPr>
        <w:t xml:space="preserve">it is not possible </w:t>
      </w:r>
      <w:r w:rsidR="0070575F" w:rsidRPr="0070575F">
        <w:rPr>
          <w:sz w:val="22"/>
          <w:szCs w:val="22"/>
        </w:rPr>
        <w:t>to make them</w:t>
      </w:r>
      <w:r w:rsidRPr="0070575F">
        <w:rPr>
          <w:sz w:val="22"/>
          <w:szCs w:val="22"/>
        </w:rPr>
        <w:t xml:space="preserve"> available electronically. </w:t>
      </w:r>
      <w:r w:rsidR="0070575F" w:rsidRPr="0070575F">
        <w:rPr>
          <w:sz w:val="22"/>
          <w:szCs w:val="22"/>
        </w:rPr>
        <w:t xml:space="preserve">Any person wishing to view the </w:t>
      </w:r>
      <w:r w:rsidR="00A401AE">
        <w:rPr>
          <w:sz w:val="22"/>
          <w:szCs w:val="22"/>
        </w:rPr>
        <w:t xml:space="preserve">papers </w:t>
      </w:r>
      <w:r w:rsidR="0070575F" w:rsidRPr="0070575F">
        <w:rPr>
          <w:sz w:val="22"/>
          <w:szCs w:val="22"/>
        </w:rPr>
        <w:t>may do so by appointment</w:t>
      </w:r>
      <w:r w:rsidR="0070575F">
        <w:rPr>
          <w:sz w:val="22"/>
          <w:szCs w:val="22"/>
        </w:rPr>
        <w:t xml:space="preserve"> and shoul</w:t>
      </w:r>
      <w:r w:rsidR="00A40A0D">
        <w:rPr>
          <w:sz w:val="22"/>
          <w:szCs w:val="22"/>
        </w:rPr>
        <w:t xml:space="preserve">d contact in the first instance </w:t>
      </w:r>
      <w:r w:rsidR="0070575F">
        <w:rPr>
          <w:sz w:val="22"/>
          <w:szCs w:val="22"/>
        </w:rPr>
        <w:t xml:space="preserve">Josh Mynott on </w:t>
      </w:r>
      <w:r w:rsidR="0070575F" w:rsidRPr="0070575F">
        <w:rPr>
          <w:sz w:val="22"/>
          <w:szCs w:val="22"/>
        </w:rPr>
        <w:t>01772</w:t>
      </w:r>
      <w:r w:rsidR="00F4109B">
        <w:rPr>
          <w:sz w:val="22"/>
          <w:szCs w:val="22"/>
        </w:rPr>
        <w:t xml:space="preserve"> </w:t>
      </w:r>
      <w:r w:rsidR="0070575F">
        <w:rPr>
          <w:sz w:val="22"/>
          <w:szCs w:val="22"/>
        </w:rPr>
        <w:t xml:space="preserve">534580. </w:t>
      </w:r>
    </w:p>
    <w:p w:rsidR="00F67C05" w:rsidRDefault="00F67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0"/>
      </w:tblGrid>
      <w:tr w:rsidR="003E6A45">
        <w:tc>
          <w:tcPr>
            <w:tcW w:w="9180" w:type="dxa"/>
          </w:tcPr>
          <w:p w:rsidR="003E6A45" w:rsidRDefault="003E6A45">
            <w:pPr>
              <w:pStyle w:val="Header"/>
            </w:pPr>
          </w:p>
          <w:p w:rsidR="003E6A45" w:rsidRDefault="003E6A45">
            <w:pPr>
              <w:pStyle w:val="Heading6"/>
              <w:rPr>
                <w:rFonts w:ascii="Arial" w:hAnsi="Arial"/>
              </w:rPr>
            </w:pPr>
            <w:r>
              <w:rPr>
                <w:rFonts w:ascii="Arial" w:hAnsi="Arial"/>
              </w:rPr>
              <w:t>Executive Summary</w:t>
            </w:r>
          </w:p>
          <w:p w:rsidR="003E6A45" w:rsidRDefault="003E6A45"/>
          <w:p w:rsidR="003E6A45" w:rsidRDefault="00D52008">
            <w:r>
              <w:t>An A</w:t>
            </w:r>
            <w:r w:rsidR="008959E5">
              <w:t xml:space="preserve">pplication relating to land </w:t>
            </w:r>
            <w:r w:rsidR="00DC6E9D">
              <w:t xml:space="preserve">north of </w:t>
            </w:r>
            <w:r w:rsidR="008959E5">
              <w:t xml:space="preserve">Bradley Lane, </w:t>
            </w:r>
            <w:proofErr w:type="spellStart"/>
            <w:r w:rsidR="008959E5">
              <w:t>Eccleston</w:t>
            </w:r>
            <w:proofErr w:type="spellEnd"/>
            <w:r w:rsidR="008959E5">
              <w:t xml:space="preserve">, known as </w:t>
            </w:r>
            <w:r w:rsidR="003E3236">
              <w:t xml:space="preserve">Bradley Lane Pond </w:t>
            </w:r>
            <w:r w:rsidR="005D64E3">
              <w:t>Field</w:t>
            </w:r>
            <w:r w:rsidR="002F1041">
              <w:t xml:space="preserve">, </w:t>
            </w:r>
            <w:r w:rsidR="008959E5">
              <w:t xml:space="preserve">to be registered as a Village Green. </w:t>
            </w:r>
          </w:p>
          <w:p w:rsidR="003E6A45" w:rsidRDefault="003E6A45"/>
          <w:p w:rsidR="003E6A45" w:rsidRDefault="003E6A45">
            <w:pPr>
              <w:pStyle w:val="Heading5"/>
              <w:rPr>
                <w:rFonts w:ascii="Arial" w:hAnsi="Arial"/>
                <w:b w:val="0"/>
                <w:u w:val="none"/>
              </w:rPr>
            </w:pPr>
            <w:r>
              <w:rPr>
                <w:rFonts w:ascii="Arial" w:hAnsi="Arial"/>
                <w:u w:val="none"/>
              </w:rPr>
              <w:t>Recommendation</w:t>
            </w:r>
          </w:p>
          <w:p w:rsidR="002048AF" w:rsidRDefault="002048AF"/>
          <w:p w:rsidR="003E6A45" w:rsidRDefault="00D52008" w:rsidP="00D52008">
            <w:r>
              <w:t>The Special Sub</w:t>
            </w:r>
            <w:r w:rsidR="00B66875">
              <w:t xml:space="preserve"> </w:t>
            </w:r>
            <w:r>
              <w:t xml:space="preserve">Committee </w:t>
            </w:r>
            <w:proofErr w:type="gramStart"/>
            <w:r>
              <w:t>reject</w:t>
            </w:r>
            <w:proofErr w:type="gramEnd"/>
            <w:r>
              <w:t xml:space="preserve"> the Application on the grounds set out in the Conclusion section of this report.</w:t>
            </w:r>
          </w:p>
          <w:p w:rsidR="00D52008" w:rsidRDefault="00D52008" w:rsidP="00D52008"/>
        </w:tc>
      </w:tr>
    </w:tbl>
    <w:p w:rsidR="003E6A45" w:rsidRDefault="003E6A45">
      <w:pPr>
        <w:pStyle w:val="Header"/>
      </w:pPr>
    </w:p>
    <w:p w:rsidR="00D52008" w:rsidRDefault="00D52008" w:rsidP="00772BBA">
      <w:pPr>
        <w:rPr>
          <w:b/>
        </w:rPr>
      </w:pPr>
    </w:p>
    <w:p w:rsidR="00772BBA" w:rsidRDefault="000010B0" w:rsidP="00772BBA">
      <w:pPr>
        <w:rPr>
          <w:b/>
        </w:rPr>
      </w:pPr>
      <w:r>
        <w:rPr>
          <w:b/>
        </w:rPr>
        <w:t xml:space="preserve">BACKGROUND </w:t>
      </w:r>
    </w:p>
    <w:p w:rsidR="0065282D" w:rsidRDefault="0065282D" w:rsidP="00772BBA">
      <w:pPr>
        <w:rPr>
          <w:b/>
        </w:rPr>
      </w:pPr>
    </w:p>
    <w:p w:rsidR="00D52008" w:rsidRPr="00D52008" w:rsidRDefault="00D52008" w:rsidP="00B776D3">
      <w:pPr>
        <w:pStyle w:val="NormalWeb"/>
        <w:spacing w:before="0" w:beforeAutospacing="0" w:after="0" w:afterAutospacing="0"/>
        <w:rPr>
          <w:rFonts w:ascii="Arial" w:hAnsi="Arial" w:cs="Arial"/>
        </w:rPr>
      </w:pPr>
      <w:r w:rsidRPr="00D52008">
        <w:rPr>
          <w:rFonts w:ascii="Arial" w:hAnsi="Arial" w:cs="Arial"/>
        </w:rPr>
        <w:t xml:space="preserve">This report relates to an Application made under Section 15 of the Commons Act 2006 ("the 2006 Act") to register land described as Bradley Lane Pond Field situated to the north of Bradley Lane, </w:t>
      </w:r>
      <w:proofErr w:type="spellStart"/>
      <w:r w:rsidRPr="00D52008">
        <w:rPr>
          <w:rFonts w:ascii="Arial" w:hAnsi="Arial" w:cs="Arial"/>
        </w:rPr>
        <w:t>Ecc</w:t>
      </w:r>
      <w:r w:rsidR="0037126D">
        <w:rPr>
          <w:rFonts w:ascii="Arial" w:hAnsi="Arial" w:cs="Arial"/>
        </w:rPr>
        <w:t>l</w:t>
      </w:r>
      <w:r w:rsidRPr="00D52008">
        <w:rPr>
          <w:rFonts w:ascii="Arial" w:hAnsi="Arial" w:cs="Arial"/>
        </w:rPr>
        <w:t>eston</w:t>
      </w:r>
      <w:proofErr w:type="spellEnd"/>
      <w:r w:rsidRPr="00D52008">
        <w:rPr>
          <w:rFonts w:ascii="Arial" w:hAnsi="Arial" w:cs="Arial"/>
        </w:rPr>
        <w:t xml:space="preserve"> as a town or village green ("</w:t>
      </w:r>
      <w:r w:rsidR="00A2552D">
        <w:rPr>
          <w:rFonts w:ascii="Arial" w:hAnsi="Arial" w:cs="Arial"/>
        </w:rPr>
        <w:t>the Application</w:t>
      </w:r>
      <w:r w:rsidRPr="00D52008">
        <w:rPr>
          <w:rFonts w:ascii="Arial" w:hAnsi="Arial" w:cs="Arial"/>
        </w:rPr>
        <w:t>").</w:t>
      </w:r>
    </w:p>
    <w:p w:rsidR="00D52008" w:rsidRDefault="00D52008" w:rsidP="00B776D3">
      <w:pPr>
        <w:pStyle w:val="NormalWeb"/>
        <w:spacing w:before="0" w:beforeAutospacing="0" w:after="0" w:afterAutospacing="0"/>
        <w:rPr>
          <w:rFonts w:ascii="Arial" w:hAnsi="Arial" w:cs="Arial"/>
        </w:rPr>
      </w:pPr>
    </w:p>
    <w:p w:rsidR="00D52008" w:rsidRPr="00D52008" w:rsidRDefault="00D52008" w:rsidP="00B776D3">
      <w:pPr>
        <w:pStyle w:val="NormalWeb"/>
        <w:spacing w:before="0" w:beforeAutospacing="0" w:after="0" w:afterAutospacing="0"/>
        <w:rPr>
          <w:rFonts w:ascii="Arial" w:hAnsi="Arial" w:cs="Arial"/>
        </w:rPr>
      </w:pPr>
      <w:r w:rsidRPr="00D52008">
        <w:rPr>
          <w:rFonts w:ascii="Arial" w:hAnsi="Arial" w:cs="Arial"/>
        </w:rPr>
        <w:t xml:space="preserve">Under the 2006 Act, Lancashire County Council is the Commons Registration Authority ("Registration Authority") for Lancashire and is required to register land as a town or village where the relevant statutory requirements have been met. The Commons Registration (England) Regulations 2008 (as amended) ("2008 Regulations") apply in Lancashire and prescribe the procedure for making applications to amend </w:t>
      </w:r>
      <w:r w:rsidRPr="00D52008">
        <w:rPr>
          <w:rFonts w:ascii="Arial" w:hAnsi="Arial" w:cs="Arial"/>
          <w:lang w:val="en-US"/>
        </w:rPr>
        <w:t xml:space="preserve">the registers of common land and town or village greens. Under the 2008 Regulations, the Registration Authority is required to determine </w:t>
      </w:r>
      <w:r w:rsidR="00A2552D">
        <w:rPr>
          <w:rFonts w:ascii="Arial" w:hAnsi="Arial" w:cs="Arial"/>
          <w:lang w:val="en-US"/>
        </w:rPr>
        <w:t xml:space="preserve">the </w:t>
      </w:r>
      <w:r w:rsidRPr="00D52008">
        <w:rPr>
          <w:rFonts w:ascii="Arial" w:hAnsi="Arial" w:cs="Arial"/>
          <w:lang w:val="en-US"/>
        </w:rPr>
        <w:t>Application</w:t>
      </w:r>
      <w:r w:rsidR="00A2552D">
        <w:rPr>
          <w:rFonts w:ascii="Arial" w:hAnsi="Arial" w:cs="Arial"/>
          <w:lang w:val="en-US"/>
        </w:rPr>
        <w:t>.</w:t>
      </w:r>
    </w:p>
    <w:p w:rsidR="00D52008" w:rsidRDefault="00D52008" w:rsidP="00D52008">
      <w:pPr>
        <w:pStyle w:val="ListParagraph"/>
        <w:spacing w:line="360" w:lineRule="auto"/>
      </w:pPr>
    </w:p>
    <w:p w:rsidR="00D52008" w:rsidRDefault="0037126D" w:rsidP="00D52008">
      <w:pPr>
        <w:pStyle w:val="ListParagraph"/>
        <w:spacing w:line="240" w:lineRule="auto"/>
        <w:ind w:left="0"/>
        <w:rPr>
          <w:rFonts w:cs="Arial"/>
          <w:color w:val="000000"/>
          <w:szCs w:val="24"/>
        </w:rPr>
      </w:pPr>
      <w:r>
        <w:rPr>
          <w:rFonts w:cs="Arial"/>
          <w:lang w:val="en-US"/>
        </w:rPr>
        <w:lastRenderedPageBreak/>
        <w:t>The Regulatory Committee at</w:t>
      </w:r>
      <w:r w:rsidR="00D52008" w:rsidRPr="00034B18">
        <w:rPr>
          <w:rFonts w:cs="Arial"/>
          <w:lang w:val="en-US"/>
        </w:rPr>
        <w:t xml:space="preserve"> its meeting </w:t>
      </w:r>
      <w:r w:rsidR="00FA41F2">
        <w:rPr>
          <w:rFonts w:cs="Arial"/>
          <w:lang w:val="en-US"/>
        </w:rPr>
        <w:t xml:space="preserve">of </w:t>
      </w:r>
      <w:r w:rsidR="00D52008" w:rsidRPr="00034B18">
        <w:rPr>
          <w:rFonts w:cs="Arial"/>
          <w:lang w:val="en-US"/>
        </w:rPr>
        <w:t>11</w:t>
      </w:r>
      <w:r w:rsidR="00FA41F2">
        <w:rPr>
          <w:rFonts w:cs="Arial"/>
          <w:lang w:val="en-US"/>
        </w:rPr>
        <w:t xml:space="preserve"> </w:t>
      </w:r>
      <w:r w:rsidR="00D52008" w:rsidRPr="00034B18">
        <w:rPr>
          <w:rFonts w:cs="Arial"/>
          <w:lang w:val="en-US"/>
        </w:rPr>
        <w:t xml:space="preserve">December 2012 was advised that </w:t>
      </w:r>
      <w:r w:rsidR="00D52008">
        <w:rPr>
          <w:rFonts w:cs="Arial"/>
          <w:lang w:val="en-US"/>
        </w:rPr>
        <w:t>A</w:t>
      </w:r>
      <w:r w:rsidR="00D52008" w:rsidRPr="00034B18">
        <w:rPr>
          <w:rFonts w:cs="Arial"/>
          <w:lang w:val="en-US"/>
        </w:rPr>
        <w:t>ppli</w:t>
      </w:r>
      <w:r w:rsidR="00F4109B">
        <w:rPr>
          <w:rFonts w:cs="Arial"/>
          <w:lang w:val="en-US"/>
        </w:rPr>
        <w:t xml:space="preserve">cation VG105 required that oral </w:t>
      </w:r>
      <w:r w:rsidR="00D52008" w:rsidRPr="00034B18">
        <w:rPr>
          <w:rFonts w:cs="Arial"/>
          <w:lang w:val="en-US"/>
        </w:rPr>
        <w:t xml:space="preserve">evidence be heard and tested through cross examination and that a Hearing would be arranged at which members of a Special Sub Committee would listen to evidence and then determine the application. The Regulatory Committee approved the establishment of 'The </w:t>
      </w:r>
      <w:r>
        <w:rPr>
          <w:rFonts w:cs="Arial"/>
          <w:lang w:val="en-US"/>
        </w:rPr>
        <w:t xml:space="preserve">Commons and Town Greens </w:t>
      </w:r>
      <w:r w:rsidR="00D52008" w:rsidRPr="00034B18">
        <w:rPr>
          <w:rFonts w:cs="Arial"/>
          <w:lang w:val="en-US"/>
        </w:rPr>
        <w:t>Special Sub-Committee for VG105' (</w:t>
      </w:r>
      <w:r w:rsidR="00480020">
        <w:rPr>
          <w:rFonts w:cs="Arial"/>
          <w:lang w:val="en-US"/>
        </w:rPr>
        <w:t>"</w:t>
      </w:r>
      <w:r w:rsidR="00D52008" w:rsidRPr="00034B18">
        <w:rPr>
          <w:rFonts w:cs="Arial"/>
          <w:lang w:val="en-US"/>
        </w:rPr>
        <w:t xml:space="preserve">the </w:t>
      </w:r>
      <w:r w:rsidR="00D52008">
        <w:rPr>
          <w:rFonts w:cs="Arial"/>
          <w:lang w:val="en-US"/>
        </w:rPr>
        <w:t>Sub</w:t>
      </w:r>
      <w:r w:rsidR="007B711A">
        <w:rPr>
          <w:rFonts w:cs="Arial"/>
          <w:lang w:val="en-US"/>
        </w:rPr>
        <w:t xml:space="preserve"> </w:t>
      </w:r>
      <w:r w:rsidR="00950398">
        <w:rPr>
          <w:rFonts w:cs="Arial"/>
          <w:lang w:val="en-US"/>
        </w:rPr>
        <w:t>Committee</w:t>
      </w:r>
      <w:r w:rsidR="00480020">
        <w:rPr>
          <w:rFonts w:cs="Arial"/>
          <w:lang w:val="en-US"/>
        </w:rPr>
        <w:t>"</w:t>
      </w:r>
      <w:r w:rsidR="00E25A16">
        <w:rPr>
          <w:rFonts w:cs="Arial"/>
          <w:lang w:val="en-US"/>
        </w:rPr>
        <w:t>)</w:t>
      </w:r>
      <w:r w:rsidR="00D52008" w:rsidRPr="006D2A64">
        <w:rPr>
          <w:rFonts w:cs="Arial"/>
          <w:color w:val="000000"/>
          <w:szCs w:val="24"/>
        </w:rPr>
        <w:t>.</w:t>
      </w:r>
    </w:p>
    <w:p w:rsidR="000010B0" w:rsidRDefault="000010B0" w:rsidP="000010B0">
      <w:pPr>
        <w:pStyle w:val="ListParagraph"/>
        <w:spacing w:after="0" w:line="240" w:lineRule="auto"/>
        <w:ind w:left="0"/>
        <w:rPr>
          <w:rFonts w:cs="Arial"/>
          <w:color w:val="000000"/>
          <w:szCs w:val="24"/>
        </w:rPr>
      </w:pPr>
    </w:p>
    <w:p w:rsidR="006F00C0" w:rsidRDefault="00D52008" w:rsidP="006F00C0">
      <w:pPr>
        <w:rPr>
          <w:rFonts w:cs="Arial"/>
          <w:szCs w:val="24"/>
        </w:rPr>
      </w:pPr>
      <w:r>
        <w:t>O</w:t>
      </w:r>
      <w:r w:rsidRPr="006D2A64">
        <w:rPr>
          <w:rFonts w:cs="Arial"/>
          <w:lang w:val="en-US"/>
        </w:rPr>
        <w:t>n 1 February 2013</w:t>
      </w:r>
      <w:r w:rsidR="00FA41F2">
        <w:rPr>
          <w:rFonts w:cs="Arial"/>
          <w:lang w:val="en-US"/>
        </w:rPr>
        <w:t>,</w:t>
      </w:r>
      <w:r>
        <w:rPr>
          <w:rFonts w:cs="Arial"/>
          <w:lang w:val="en-US"/>
        </w:rPr>
        <w:t xml:space="preserve"> the Registration Authority served </w:t>
      </w:r>
      <w:r w:rsidRPr="006D2A64">
        <w:rPr>
          <w:rFonts w:cs="Arial"/>
          <w:lang w:val="en-US"/>
        </w:rPr>
        <w:t xml:space="preserve">'Directions for Hearing' ("Directions") on the Applicant and Objector to ensure the smooth running of the hearing and fairness to all parties </w:t>
      </w:r>
      <w:r w:rsidRPr="00231648">
        <w:rPr>
          <w:rFonts w:cs="Arial"/>
          <w:lang w:val="en-US"/>
        </w:rPr>
        <w:t xml:space="preserve">and the public (Appendix </w:t>
      </w:r>
      <w:r w:rsidR="00231648" w:rsidRPr="00231648">
        <w:rPr>
          <w:rFonts w:cs="Arial"/>
          <w:lang w:val="en-US"/>
        </w:rPr>
        <w:t>A</w:t>
      </w:r>
      <w:r w:rsidRPr="00231648">
        <w:rPr>
          <w:rFonts w:cs="Arial"/>
          <w:lang w:val="en-US"/>
        </w:rPr>
        <w:t xml:space="preserve"> refers). </w:t>
      </w:r>
      <w:r w:rsidR="00564B92" w:rsidRPr="00231648">
        <w:rPr>
          <w:rFonts w:cs="Arial"/>
          <w:lang w:val="en-US"/>
        </w:rPr>
        <w:t>Prior to</w:t>
      </w:r>
      <w:r w:rsidR="00564B92">
        <w:rPr>
          <w:rFonts w:cs="Arial"/>
          <w:lang w:val="en-US"/>
        </w:rPr>
        <w:t xml:space="preserve"> the Hearing </w:t>
      </w:r>
      <w:r w:rsidR="00C30550">
        <w:rPr>
          <w:rFonts w:cs="Arial"/>
          <w:lang w:val="en-US"/>
        </w:rPr>
        <w:t>a paginated bundle of documents was prepared b</w:t>
      </w:r>
      <w:r w:rsidR="00564B92">
        <w:rPr>
          <w:rFonts w:cs="Arial"/>
          <w:lang w:val="en-US"/>
        </w:rPr>
        <w:t>y the Objector and for the Applicant</w:t>
      </w:r>
      <w:r w:rsidR="00FA41F2">
        <w:rPr>
          <w:rFonts w:cs="Arial"/>
          <w:lang w:val="en-US"/>
        </w:rPr>
        <w:t>,</w:t>
      </w:r>
      <w:r w:rsidR="00564B92">
        <w:rPr>
          <w:rFonts w:cs="Arial"/>
          <w:lang w:val="en-US"/>
        </w:rPr>
        <w:t xml:space="preserve"> containing all the documents they wished to rely on. </w:t>
      </w:r>
      <w:r w:rsidR="006F00C0">
        <w:rPr>
          <w:rFonts w:cs="Arial"/>
          <w:szCs w:val="24"/>
        </w:rPr>
        <w:t>The Sub</w:t>
      </w:r>
      <w:r w:rsidR="007B711A">
        <w:rPr>
          <w:rFonts w:cs="Arial"/>
          <w:szCs w:val="24"/>
        </w:rPr>
        <w:t xml:space="preserve"> </w:t>
      </w:r>
      <w:r w:rsidR="006F00C0">
        <w:rPr>
          <w:rFonts w:cs="Arial"/>
          <w:szCs w:val="24"/>
        </w:rPr>
        <w:t xml:space="preserve">Committee was provided with the Applicant's Bundle and the Objector's Bundle prior to the Hearing. </w:t>
      </w:r>
      <w:r w:rsidR="00167414">
        <w:rPr>
          <w:rFonts w:cs="Arial"/>
          <w:szCs w:val="24"/>
        </w:rPr>
        <w:t xml:space="preserve">In this report references to the </w:t>
      </w:r>
      <w:r w:rsidR="006F00C0">
        <w:rPr>
          <w:rFonts w:cs="Arial"/>
          <w:szCs w:val="24"/>
        </w:rPr>
        <w:t xml:space="preserve">Applicant's bundle </w:t>
      </w:r>
      <w:r w:rsidR="00167414">
        <w:rPr>
          <w:rFonts w:cs="Arial"/>
          <w:szCs w:val="24"/>
        </w:rPr>
        <w:t>are given the preface of "</w:t>
      </w:r>
      <w:r w:rsidR="006F00C0">
        <w:rPr>
          <w:rFonts w:cs="Arial"/>
          <w:szCs w:val="24"/>
        </w:rPr>
        <w:t>AB</w:t>
      </w:r>
      <w:r w:rsidR="00167414">
        <w:rPr>
          <w:rFonts w:cs="Arial"/>
          <w:szCs w:val="24"/>
        </w:rPr>
        <w:t>"</w:t>
      </w:r>
      <w:r w:rsidR="006F00C0">
        <w:rPr>
          <w:rFonts w:cs="Arial"/>
          <w:szCs w:val="24"/>
        </w:rPr>
        <w:t xml:space="preserve">, </w:t>
      </w:r>
      <w:r w:rsidR="00167414">
        <w:rPr>
          <w:rFonts w:cs="Arial"/>
          <w:szCs w:val="24"/>
        </w:rPr>
        <w:t xml:space="preserve">followed by </w:t>
      </w:r>
      <w:r w:rsidR="006F00C0">
        <w:rPr>
          <w:rFonts w:cs="Arial"/>
          <w:szCs w:val="24"/>
        </w:rPr>
        <w:t>the document number and page number(s)</w:t>
      </w:r>
      <w:r w:rsidR="002B397D">
        <w:rPr>
          <w:rFonts w:cs="Arial"/>
          <w:szCs w:val="24"/>
        </w:rPr>
        <w:t xml:space="preserve"> where relevant</w:t>
      </w:r>
      <w:r w:rsidR="006F00C0">
        <w:rPr>
          <w:rFonts w:cs="Arial"/>
          <w:szCs w:val="24"/>
        </w:rPr>
        <w:t xml:space="preserve">. </w:t>
      </w:r>
      <w:r w:rsidR="00167414">
        <w:rPr>
          <w:rFonts w:cs="Arial"/>
          <w:szCs w:val="24"/>
        </w:rPr>
        <w:t>References to the</w:t>
      </w:r>
      <w:r w:rsidR="006F00C0">
        <w:rPr>
          <w:rFonts w:cs="Arial"/>
          <w:szCs w:val="24"/>
        </w:rPr>
        <w:t xml:space="preserve"> Objector's bundle </w:t>
      </w:r>
      <w:r w:rsidR="00167414">
        <w:rPr>
          <w:rFonts w:cs="Arial"/>
          <w:szCs w:val="24"/>
        </w:rPr>
        <w:t>use the preface "</w:t>
      </w:r>
      <w:r w:rsidR="006F00C0">
        <w:rPr>
          <w:rFonts w:cs="Arial"/>
          <w:szCs w:val="24"/>
        </w:rPr>
        <w:t>OB</w:t>
      </w:r>
      <w:r w:rsidR="00167414">
        <w:rPr>
          <w:rFonts w:cs="Arial"/>
          <w:szCs w:val="24"/>
        </w:rPr>
        <w:t xml:space="preserve">". </w:t>
      </w:r>
      <w:r w:rsidR="006F00C0">
        <w:rPr>
          <w:rFonts w:cs="Arial"/>
          <w:szCs w:val="24"/>
        </w:rPr>
        <w:t xml:space="preserve"> </w:t>
      </w:r>
    </w:p>
    <w:p w:rsidR="00C30550" w:rsidRDefault="00C30550" w:rsidP="00D52008">
      <w:pPr>
        <w:pStyle w:val="ListParagraph"/>
        <w:spacing w:line="240" w:lineRule="auto"/>
        <w:ind w:left="0"/>
        <w:rPr>
          <w:rFonts w:cs="Arial"/>
          <w:lang w:val="en-US"/>
        </w:rPr>
      </w:pPr>
    </w:p>
    <w:p w:rsidR="00D52008" w:rsidRDefault="00D52008" w:rsidP="00564B92">
      <w:pPr>
        <w:pStyle w:val="ListParagraph"/>
        <w:spacing w:line="240" w:lineRule="auto"/>
        <w:ind w:left="0"/>
        <w:rPr>
          <w:rFonts w:cs="Arial"/>
        </w:rPr>
      </w:pPr>
      <w:r w:rsidRPr="00D52008">
        <w:rPr>
          <w:rFonts w:cs="Arial"/>
        </w:rPr>
        <w:t>The Sub Committee</w:t>
      </w:r>
      <w:r w:rsidR="00FA41F2">
        <w:rPr>
          <w:rFonts w:cs="Arial"/>
        </w:rPr>
        <w:t>,</w:t>
      </w:r>
      <w:r w:rsidRPr="00D52008">
        <w:rPr>
          <w:rFonts w:cs="Arial"/>
        </w:rPr>
        <w:t xml:space="preserve"> in accordance with the Directions</w:t>
      </w:r>
      <w:r w:rsidR="00FA41F2">
        <w:rPr>
          <w:rFonts w:cs="Arial"/>
        </w:rPr>
        <w:t>,</w:t>
      </w:r>
      <w:r w:rsidRPr="00D52008">
        <w:rPr>
          <w:rFonts w:cs="Arial"/>
        </w:rPr>
        <w:t xml:space="preserve"> undertook a site visit </w:t>
      </w:r>
      <w:r w:rsidR="000010B0">
        <w:t xml:space="preserve">on the afternoon of Wednesday 13 March 2013 </w:t>
      </w:r>
      <w:r w:rsidRPr="00D52008">
        <w:rPr>
          <w:rFonts w:cs="Arial"/>
        </w:rPr>
        <w:t xml:space="preserve">accompanied by </w:t>
      </w:r>
      <w:r w:rsidR="00564B92">
        <w:rPr>
          <w:rFonts w:cs="Arial"/>
        </w:rPr>
        <w:t xml:space="preserve">officers of the </w:t>
      </w:r>
      <w:r w:rsidRPr="00D52008">
        <w:rPr>
          <w:rFonts w:cs="Arial"/>
        </w:rPr>
        <w:t>Registration Authority</w:t>
      </w:r>
      <w:r w:rsidR="00F4109B">
        <w:rPr>
          <w:rFonts w:cs="Arial"/>
        </w:rPr>
        <w:t xml:space="preserve">, </w:t>
      </w:r>
      <w:r w:rsidRPr="00D52008">
        <w:rPr>
          <w:rFonts w:cs="Arial"/>
        </w:rPr>
        <w:t>the Applicant Mr David Walton and Mr David Forshaw for the Objector.</w:t>
      </w:r>
    </w:p>
    <w:p w:rsidR="00564B92" w:rsidRDefault="00564B92" w:rsidP="00564B92">
      <w:pPr>
        <w:pStyle w:val="ListParagraph"/>
        <w:spacing w:line="240" w:lineRule="auto"/>
        <w:ind w:left="0"/>
        <w:rPr>
          <w:rFonts w:cs="Arial"/>
        </w:rPr>
      </w:pPr>
    </w:p>
    <w:p w:rsidR="00564B92" w:rsidRDefault="0077764B" w:rsidP="00564B92">
      <w:pPr>
        <w:pStyle w:val="ListParagraph"/>
        <w:spacing w:line="240" w:lineRule="auto"/>
        <w:ind w:left="0"/>
        <w:rPr>
          <w:rFonts w:cs="Arial"/>
        </w:rPr>
      </w:pPr>
      <w:r>
        <w:rPr>
          <w:rFonts w:cs="Arial"/>
        </w:rPr>
        <w:t xml:space="preserve">By a letter </w:t>
      </w:r>
      <w:r w:rsidR="00564B92">
        <w:rPr>
          <w:rFonts w:cs="Arial"/>
        </w:rPr>
        <w:t xml:space="preserve">dated </w:t>
      </w:r>
      <w:r w:rsidR="00527C64">
        <w:rPr>
          <w:rFonts w:cs="Arial"/>
        </w:rPr>
        <w:t>15 March 2013</w:t>
      </w:r>
      <w:r w:rsidR="00564B92">
        <w:rPr>
          <w:rFonts w:cs="Arial"/>
        </w:rPr>
        <w:t>, th</w:t>
      </w:r>
      <w:r w:rsidR="00527C64">
        <w:rPr>
          <w:rFonts w:cs="Arial"/>
        </w:rPr>
        <w:t xml:space="preserve">e Applicant informed the </w:t>
      </w:r>
      <w:r w:rsidR="00E25A16">
        <w:rPr>
          <w:rFonts w:cs="Arial"/>
        </w:rPr>
        <w:t xml:space="preserve">Registration </w:t>
      </w:r>
      <w:r w:rsidR="00527C64">
        <w:rPr>
          <w:rFonts w:cs="Arial"/>
        </w:rPr>
        <w:t xml:space="preserve">Authority that he did not wish to pursue the application to register the village green and that </w:t>
      </w:r>
      <w:r w:rsidR="00FA41F2">
        <w:rPr>
          <w:rFonts w:cs="Arial"/>
        </w:rPr>
        <w:t>neither he nor any o</w:t>
      </w:r>
      <w:r w:rsidR="00527C64">
        <w:rPr>
          <w:rFonts w:cs="Arial"/>
        </w:rPr>
        <w:t>f his proposed witnesses would be attending the Hearing scheduled for 19 March. The Applicant further stated</w:t>
      </w:r>
      <w:r w:rsidR="006F00C0">
        <w:rPr>
          <w:rFonts w:cs="Arial"/>
        </w:rPr>
        <w:t xml:space="preserve"> that</w:t>
      </w:r>
      <w:r w:rsidR="00FA41F2">
        <w:rPr>
          <w:rFonts w:cs="Arial"/>
        </w:rPr>
        <w:t>,</w:t>
      </w:r>
      <w:r w:rsidR="006F00C0">
        <w:rPr>
          <w:rFonts w:cs="Arial"/>
        </w:rPr>
        <w:t xml:space="preserve"> as no case w</w:t>
      </w:r>
      <w:r w:rsidR="00FA41F2">
        <w:rPr>
          <w:rFonts w:cs="Arial"/>
        </w:rPr>
        <w:t xml:space="preserve">ould </w:t>
      </w:r>
      <w:r w:rsidR="006F00C0">
        <w:rPr>
          <w:rFonts w:cs="Arial"/>
        </w:rPr>
        <w:t>be put forward in support of the application at the hearing</w:t>
      </w:r>
      <w:r>
        <w:rPr>
          <w:rFonts w:cs="Arial"/>
        </w:rPr>
        <w:t>, he</w:t>
      </w:r>
      <w:r w:rsidR="006F00C0">
        <w:rPr>
          <w:rFonts w:cs="Arial"/>
        </w:rPr>
        <w:t xml:space="preserve"> </w:t>
      </w:r>
      <w:r w:rsidR="00E25A16">
        <w:rPr>
          <w:rFonts w:cs="Arial"/>
        </w:rPr>
        <w:t xml:space="preserve">invited </w:t>
      </w:r>
      <w:r w:rsidR="006F00C0">
        <w:rPr>
          <w:rFonts w:cs="Arial"/>
        </w:rPr>
        <w:t xml:space="preserve">the Registration Authority </w:t>
      </w:r>
      <w:r w:rsidR="00E25A16">
        <w:rPr>
          <w:rFonts w:cs="Arial"/>
        </w:rPr>
        <w:t xml:space="preserve">to </w:t>
      </w:r>
      <w:r w:rsidR="006F00C0">
        <w:rPr>
          <w:rFonts w:cs="Arial"/>
        </w:rPr>
        <w:t>treat the application as withdrawn</w:t>
      </w:r>
      <w:r w:rsidR="00FA41F2">
        <w:rPr>
          <w:rFonts w:cs="Arial"/>
        </w:rPr>
        <w:t>. P</w:t>
      </w:r>
      <w:r w:rsidR="007B711A">
        <w:rPr>
          <w:rFonts w:cs="Arial"/>
        </w:rPr>
        <w:t xml:space="preserve">apers relating to 'application to withdraw' are at </w:t>
      </w:r>
      <w:r w:rsidR="00234A84">
        <w:rPr>
          <w:rFonts w:cs="Arial"/>
        </w:rPr>
        <w:t>AB/Doc7</w:t>
      </w:r>
      <w:r w:rsidR="00CF6F47">
        <w:rPr>
          <w:rFonts w:cs="Arial"/>
        </w:rPr>
        <w:t xml:space="preserve">. </w:t>
      </w:r>
    </w:p>
    <w:p w:rsidR="00CF6F47" w:rsidRDefault="00CF6F47" w:rsidP="00564B92">
      <w:pPr>
        <w:pStyle w:val="ListParagraph"/>
        <w:spacing w:line="240" w:lineRule="auto"/>
        <w:ind w:left="0"/>
        <w:rPr>
          <w:rFonts w:cs="Arial"/>
        </w:rPr>
      </w:pPr>
    </w:p>
    <w:p w:rsidR="005D4E79" w:rsidRDefault="00D52008" w:rsidP="00D52008">
      <w:pPr>
        <w:pStyle w:val="ListParagraph"/>
        <w:spacing w:line="240" w:lineRule="auto"/>
        <w:ind w:left="0"/>
        <w:rPr>
          <w:rFonts w:cs="Arial"/>
        </w:rPr>
      </w:pPr>
      <w:r w:rsidRPr="00D52008">
        <w:rPr>
          <w:rFonts w:cs="Arial"/>
        </w:rPr>
        <w:t xml:space="preserve">The Sub Committee held a Hearing on the morning of 19 March 2013. </w:t>
      </w:r>
      <w:r w:rsidR="00CF6F47">
        <w:rPr>
          <w:rFonts w:cs="Arial"/>
        </w:rPr>
        <w:t>The Applicant did not attend nor did any other person in support of the application</w:t>
      </w:r>
      <w:r w:rsidR="00EA6A0F">
        <w:rPr>
          <w:rFonts w:cs="Arial"/>
        </w:rPr>
        <w:t xml:space="preserve"> or any third parties</w:t>
      </w:r>
      <w:r w:rsidR="00CF6F47">
        <w:rPr>
          <w:rFonts w:cs="Arial"/>
        </w:rPr>
        <w:t>. The Objector was represented by Mr Martin Carter of C</w:t>
      </w:r>
      <w:r w:rsidR="00234A84">
        <w:rPr>
          <w:rFonts w:cs="Arial"/>
        </w:rPr>
        <w:t>ounsel. A</w:t>
      </w:r>
      <w:r w:rsidR="005D4E79">
        <w:rPr>
          <w:rFonts w:cs="Arial"/>
        </w:rPr>
        <w:t>t the outset of the Hearing, one preliminary issue arose concerning</w:t>
      </w:r>
      <w:r w:rsidR="005D6372">
        <w:rPr>
          <w:rFonts w:cs="Arial"/>
        </w:rPr>
        <w:t xml:space="preserve"> the status of the Applicant's </w:t>
      </w:r>
      <w:r w:rsidR="003C056B">
        <w:rPr>
          <w:rFonts w:cs="Arial"/>
        </w:rPr>
        <w:t>'a</w:t>
      </w:r>
      <w:r w:rsidR="005D4E79">
        <w:rPr>
          <w:rFonts w:cs="Arial"/>
        </w:rPr>
        <w:t xml:space="preserve">pplication to </w:t>
      </w:r>
      <w:r w:rsidR="003C056B">
        <w:rPr>
          <w:rFonts w:cs="Arial"/>
        </w:rPr>
        <w:t>w</w:t>
      </w:r>
      <w:r w:rsidR="005D4E79">
        <w:rPr>
          <w:rFonts w:cs="Arial"/>
        </w:rPr>
        <w:t>ithdraw</w:t>
      </w:r>
      <w:r w:rsidR="003C056B">
        <w:rPr>
          <w:rFonts w:cs="Arial"/>
        </w:rPr>
        <w:t>'</w:t>
      </w:r>
      <w:r w:rsidR="00FA41F2">
        <w:rPr>
          <w:rFonts w:cs="Arial"/>
        </w:rPr>
        <w:t>. H</w:t>
      </w:r>
      <w:r w:rsidR="005D4E79">
        <w:rPr>
          <w:rFonts w:cs="Arial"/>
        </w:rPr>
        <w:t>aving heard from the Objector</w:t>
      </w:r>
      <w:r w:rsidR="003C056B">
        <w:rPr>
          <w:rFonts w:cs="Arial"/>
        </w:rPr>
        <w:t xml:space="preserve"> that the application should be treated as withdrawn</w:t>
      </w:r>
      <w:r w:rsidR="007B711A">
        <w:rPr>
          <w:rFonts w:cs="Arial"/>
        </w:rPr>
        <w:t xml:space="preserve">, the Sub </w:t>
      </w:r>
      <w:r w:rsidR="005D4E79">
        <w:rPr>
          <w:rFonts w:cs="Arial"/>
        </w:rPr>
        <w:t>Committee's view was that for t</w:t>
      </w:r>
      <w:r w:rsidR="00EA6A0F">
        <w:rPr>
          <w:rFonts w:cs="Arial"/>
        </w:rPr>
        <w:t xml:space="preserve">he reasons set out in </w:t>
      </w:r>
      <w:r w:rsidR="00E85B80">
        <w:rPr>
          <w:rFonts w:cs="Arial"/>
        </w:rPr>
        <w:t>the minutes to the meeting of 19 March 2013</w:t>
      </w:r>
      <w:r w:rsidR="004D7824">
        <w:rPr>
          <w:rFonts w:cs="Arial"/>
        </w:rPr>
        <w:t xml:space="preserve"> and the decision was that </w:t>
      </w:r>
      <w:r w:rsidR="005D4E79">
        <w:rPr>
          <w:rFonts w:cs="Arial"/>
        </w:rPr>
        <w:t>the application should not be treated as withdrawn</w:t>
      </w:r>
      <w:r w:rsidR="00920649">
        <w:rPr>
          <w:rFonts w:cs="Arial"/>
        </w:rPr>
        <w:t xml:space="preserve">. The </w:t>
      </w:r>
      <w:r w:rsidR="005D4E79">
        <w:rPr>
          <w:rFonts w:cs="Arial"/>
        </w:rPr>
        <w:t>Sub</w:t>
      </w:r>
      <w:r w:rsidR="007B711A">
        <w:rPr>
          <w:rFonts w:cs="Arial"/>
        </w:rPr>
        <w:t xml:space="preserve"> </w:t>
      </w:r>
      <w:r w:rsidR="005D4E79">
        <w:rPr>
          <w:rFonts w:cs="Arial"/>
        </w:rPr>
        <w:t xml:space="preserve">Committee </w:t>
      </w:r>
      <w:r w:rsidR="00920649">
        <w:rPr>
          <w:rFonts w:cs="Arial"/>
        </w:rPr>
        <w:t xml:space="preserve">confirmed it would </w:t>
      </w:r>
      <w:r w:rsidR="005D4E79">
        <w:rPr>
          <w:rFonts w:cs="Arial"/>
        </w:rPr>
        <w:t xml:space="preserve">proceed to determine the Application, taking into account all the written evidence submitted </w:t>
      </w:r>
      <w:r w:rsidR="00EA6A0F">
        <w:rPr>
          <w:rFonts w:cs="Arial"/>
        </w:rPr>
        <w:t xml:space="preserve">by the </w:t>
      </w:r>
      <w:r w:rsidR="005D4E79">
        <w:rPr>
          <w:rFonts w:cs="Arial"/>
        </w:rPr>
        <w:t xml:space="preserve">Applicant and </w:t>
      </w:r>
      <w:r w:rsidR="00EA6A0F">
        <w:rPr>
          <w:rFonts w:cs="Arial"/>
        </w:rPr>
        <w:t xml:space="preserve">the Objector, together with the oral evidence adduced at the Hearing. </w:t>
      </w:r>
    </w:p>
    <w:p w:rsidR="005D4E79" w:rsidRDefault="005D4E79" w:rsidP="00D52008">
      <w:pPr>
        <w:pStyle w:val="ListParagraph"/>
        <w:spacing w:line="240" w:lineRule="auto"/>
        <w:ind w:left="0"/>
        <w:rPr>
          <w:rFonts w:cs="Arial"/>
        </w:rPr>
      </w:pPr>
    </w:p>
    <w:p w:rsidR="00D52008" w:rsidRDefault="00EA6A0F" w:rsidP="00D52008">
      <w:pPr>
        <w:pStyle w:val="ListParagraph"/>
        <w:spacing w:line="240" w:lineRule="auto"/>
        <w:ind w:left="0"/>
        <w:rPr>
          <w:rFonts w:cs="Arial"/>
        </w:rPr>
      </w:pPr>
      <w:r>
        <w:rPr>
          <w:rFonts w:cs="Arial"/>
        </w:rPr>
        <w:t xml:space="preserve">The Objector called </w:t>
      </w:r>
      <w:r w:rsidR="00F038DD">
        <w:rPr>
          <w:rFonts w:cs="Arial"/>
        </w:rPr>
        <w:t xml:space="preserve">one </w:t>
      </w:r>
      <w:r>
        <w:rPr>
          <w:rFonts w:cs="Arial"/>
        </w:rPr>
        <w:t xml:space="preserve">witness to give oral evidence and </w:t>
      </w:r>
      <w:r w:rsidR="00F038DD">
        <w:rPr>
          <w:rFonts w:cs="Arial"/>
        </w:rPr>
        <w:t>i</w:t>
      </w:r>
      <w:r w:rsidR="00234A84">
        <w:rPr>
          <w:rFonts w:cs="Arial"/>
        </w:rPr>
        <w:t xml:space="preserve">n addition, the Objector was </w:t>
      </w:r>
      <w:r w:rsidR="00E85B80">
        <w:rPr>
          <w:rFonts w:cs="Arial"/>
        </w:rPr>
        <w:t xml:space="preserve">requested </w:t>
      </w:r>
      <w:r w:rsidR="0029346B">
        <w:rPr>
          <w:rFonts w:cs="Arial"/>
        </w:rPr>
        <w:t xml:space="preserve">by the Sub Committee </w:t>
      </w:r>
      <w:r w:rsidR="00234A84">
        <w:rPr>
          <w:rFonts w:cs="Arial"/>
        </w:rPr>
        <w:t>to provide written closing statement and pursuant to that</w:t>
      </w:r>
      <w:r w:rsidR="003C056B">
        <w:rPr>
          <w:rFonts w:cs="Arial"/>
        </w:rPr>
        <w:t>,</w:t>
      </w:r>
      <w:r w:rsidR="00234A84">
        <w:rPr>
          <w:rFonts w:cs="Arial"/>
        </w:rPr>
        <w:t xml:space="preserve"> </w:t>
      </w:r>
      <w:r w:rsidR="007B711A">
        <w:rPr>
          <w:rFonts w:cs="Arial"/>
        </w:rPr>
        <w:t xml:space="preserve">the Registration Authority received </w:t>
      </w:r>
      <w:r w:rsidR="000010B0">
        <w:rPr>
          <w:rFonts w:cs="Arial"/>
        </w:rPr>
        <w:t xml:space="preserve">such </w:t>
      </w:r>
      <w:r w:rsidR="00234A84">
        <w:rPr>
          <w:rFonts w:cs="Arial"/>
        </w:rPr>
        <w:t xml:space="preserve">closing submissions 22 March 2013 at OB/Doc16. </w:t>
      </w:r>
    </w:p>
    <w:p w:rsidR="00E85B14" w:rsidRDefault="00E85B14" w:rsidP="00D52008">
      <w:pPr>
        <w:pStyle w:val="ListParagraph"/>
        <w:spacing w:line="240" w:lineRule="auto"/>
        <w:ind w:left="0"/>
        <w:rPr>
          <w:rFonts w:cs="Arial"/>
        </w:rPr>
      </w:pPr>
    </w:p>
    <w:p w:rsidR="009267CD" w:rsidRPr="009267CD" w:rsidRDefault="00373857" w:rsidP="00D52008">
      <w:pPr>
        <w:pStyle w:val="ListParagraph"/>
        <w:spacing w:line="240" w:lineRule="auto"/>
        <w:ind w:left="0"/>
        <w:rPr>
          <w:rFonts w:cs="Arial"/>
          <w:b/>
        </w:rPr>
      </w:pPr>
      <w:r w:rsidRPr="009267CD">
        <w:rPr>
          <w:rFonts w:cs="Arial"/>
          <w:b/>
        </w:rPr>
        <w:t xml:space="preserve">COMMONS ACT 2006 </w:t>
      </w:r>
    </w:p>
    <w:p w:rsidR="009267CD" w:rsidRDefault="009267CD" w:rsidP="009267CD">
      <w:pPr>
        <w:rPr>
          <w:rFonts w:cs="Arial"/>
          <w:szCs w:val="24"/>
        </w:rPr>
      </w:pPr>
      <w:proofErr w:type="gramStart"/>
      <w:r>
        <w:t>Section 15 of the 2006 Act sets out the criteria for the registration of land as a new town or village green.</w:t>
      </w:r>
      <w:proofErr w:type="gramEnd"/>
      <w:r>
        <w:t xml:space="preserve"> This section came into force on 6 April 2007. </w:t>
      </w:r>
      <w:r w:rsidRPr="00502D22">
        <w:rPr>
          <w:rFonts w:cs="Arial"/>
          <w:szCs w:val="24"/>
        </w:rPr>
        <w:t xml:space="preserve">Land can </w:t>
      </w:r>
      <w:r w:rsidRPr="00502D22">
        <w:rPr>
          <w:rFonts w:cs="Arial"/>
          <w:szCs w:val="24"/>
        </w:rPr>
        <w:lastRenderedPageBreak/>
        <w:t>become a town or village green where a significant number of the inhabitants of any locality, or of any neighbourhood within a locality, have indulged as of right in lawful sports and pastimes on the land for</w:t>
      </w:r>
      <w:r>
        <w:rPr>
          <w:rFonts w:cs="Arial"/>
          <w:szCs w:val="24"/>
        </w:rPr>
        <w:t xml:space="preserve"> a period of at least 20 years and, </w:t>
      </w:r>
      <w:r w:rsidRPr="00502D22">
        <w:rPr>
          <w:rFonts w:cs="Arial"/>
          <w:szCs w:val="24"/>
        </w:rPr>
        <w:t>they continue to do so at t</w:t>
      </w:r>
      <w:r>
        <w:rPr>
          <w:rFonts w:cs="Arial"/>
          <w:szCs w:val="24"/>
        </w:rPr>
        <w:t>he time of the application</w:t>
      </w:r>
      <w:r w:rsidRPr="00502D22">
        <w:rPr>
          <w:rFonts w:cs="Arial"/>
          <w:szCs w:val="24"/>
        </w:rPr>
        <w:t xml:space="preserve"> </w:t>
      </w:r>
      <w:r>
        <w:rPr>
          <w:rFonts w:cs="Arial"/>
          <w:szCs w:val="24"/>
        </w:rPr>
        <w:t xml:space="preserve">(s15(2)) </w:t>
      </w:r>
      <w:r w:rsidRPr="00502D22">
        <w:rPr>
          <w:rFonts w:cs="Arial"/>
          <w:szCs w:val="24"/>
        </w:rPr>
        <w:t>or</w:t>
      </w:r>
      <w:r>
        <w:rPr>
          <w:rFonts w:cs="Arial"/>
          <w:szCs w:val="24"/>
        </w:rPr>
        <w:t>,</w:t>
      </w:r>
      <w:r w:rsidRPr="00502D22">
        <w:rPr>
          <w:rFonts w:cs="Arial"/>
          <w:szCs w:val="24"/>
        </w:rPr>
        <w:t xml:space="preserve"> </w:t>
      </w:r>
      <w:r>
        <w:rPr>
          <w:rFonts w:cs="Arial"/>
          <w:szCs w:val="24"/>
        </w:rPr>
        <w:t xml:space="preserve">where use ceased after 6 April 2007 </w:t>
      </w:r>
      <w:r w:rsidRPr="00502D22">
        <w:rPr>
          <w:rFonts w:cs="Arial"/>
          <w:szCs w:val="24"/>
        </w:rPr>
        <w:t xml:space="preserve">and the application is made within two years </w:t>
      </w:r>
      <w:r>
        <w:rPr>
          <w:rFonts w:cs="Arial"/>
          <w:szCs w:val="24"/>
        </w:rPr>
        <w:t xml:space="preserve">of the date on which use ceased (s15(3)), ('qualifying period'). Other qualifying periods exist but are not applicable to this application.  </w:t>
      </w:r>
    </w:p>
    <w:p w:rsidR="009267CD" w:rsidRDefault="009267CD" w:rsidP="009267CD">
      <w:pPr>
        <w:rPr>
          <w:rFonts w:cs="Arial"/>
          <w:szCs w:val="24"/>
        </w:rPr>
      </w:pPr>
    </w:p>
    <w:p w:rsidR="009267CD" w:rsidRPr="009267CD" w:rsidRDefault="00373857" w:rsidP="009267CD">
      <w:pPr>
        <w:rPr>
          <w:rFonts w:cs="Arial"/>
          <w:b/>
          <w:szCs w:val="24"/>
        </w:rPr>
      </w:pPr>
      <w:r w:rsidRPr="009267CD">
        <w:rPr>
          <w:rFonts w:cs="Arial"/>
          <w:b/>
          <w:szCs w:val="24"/>
        </w:rPr>
        <w:t xml:space="preserve">THE APPLICATION </w:t>
      </w:r>
    </w:p>
    <w:p w:rsidR="009267CD" w:rsidRDefault="009267CD" w:rsidP="009267CD">
      <w:pPr>
        <w:rPr>
          <w:rFonts w:cs="Arial"/>
          <w:szCs w:val="24"/>
        </w:rPr>
      </w:pPr>
    </w:p>
    <w:p w:rsidR="009267CD" w:rsidRDefault="007B711A" w:rsidP="009267CD">
      <w:r>
        <w:rPr>
          <w:rFonts w:cs="Arial"/>
          <w:szCs w:val="24"/>
        </w:rPr>
        <w:t>The A</w:t>
      </w:r>
      <w:r w:rsidR="009267CD">
        <w:rPr>
          <w:rFonts w:cs="Arial"/>
          <w:szCs w:val="24"/>
        </w:rPr>
        <w:t xml:space="preserve">pplication </w:t>
      </w:r>
      <w:r w:rsidR="009267CD">
        <w:t xml:space="preserve">relates to land north of Bradley Lane, </w:t>
      </w:r>
      <w:proofErr w:type="spellStart"/>
      <w:r w:rsidR="009267CD">
        <w:t>Eccleston</w:t>
      </w:r>
      <w:proofErr w:type="spellEnd"/>
      <w:r w:rsidR="009267CD">
        <w:t xml:space="preserve">, known as Bradley Lane Pond/Field, ("the </w:t>
      </w:r>
      <w:r w:rsidR="00373857">
        <w:t>L</w:t>
      </w:r>
      <w:r w:rsidR="009267CD">
        <w:t xml:space="preserve">and") to be registered as a village green. </w:t>
      </w:r>
      <w:r w:rsidR="00FA41F2">
        <w:rPr>
          <w:rFonts w:cs="Arial"/>
          <w:szCs w:val="24"/>
        </w:rPr>
        <w:t>The A</w:t>
      </w:r>
      <w:r w:rsidR="009267CD">
        <w:rPr>
          <w:rFonts w:cs="Arial"/>
          <w:szCs w:val="24"/>
        </w:rPr>
        <w:t xml:space="preserve">pplicant is Mr David Walton </w:t>
      </w:r>
      <w:r>
        <w:t>and the A</w:t>
      </w:r>
      <w:r w:rsidR="009267CD">
        <w:t xml:space="preserve">pplication was </w:t>
      </w:r>
      <w:r w:rsidR="00E25A16">
        <w:t>received 8 September 2011</w:t>
      </w:r>
      <w:r w:rsidR="009267CD">
        <w:t>.</w:t>
      </w:r>
    </w:p>
    <w:p w:rsidR="00E25A16" w:rsidRDefault="00E25A16" w:rsidP="009267CD">
      <w:pPr>
        <w:rPr>
          <w:rFonts w:cs="Arial"/>
          <w:szCs w:val="24"/>
        </w:rPr>
      </w:pPr>
    </w:p>
    <w:p w:rsidR="009267CD" w:rsidRDefault="00A2552D" w:rsidP="009267CD">
      <w:pPr>
        <w:rPr>
          <w:rFonts w:cs="Arial"/>
          <w:szCs w:val="24"/>
        </w:rPr>
      </w:pPr>
      <w:r>
        <w:rPr>
          <w:rFonts w:cs="Arial"/>
          <w:szCs w:val="24"/>
        </w:rPr>
        <w:t>T</w:t>
      </w:r>
      <w:r w:rsidR="007B711A">
        <w:rPr>
          <w:rFonts w:cs="Arial"/>
          <w:szCs w:val="24"/>
        </w:rPr>
        <w:t>he A</w:t>
      </w:r>
      <w:r w:rsidR="009267CD">
        <w:rPr>
          <w:rFonts w:cs="Arial"/>
          <w:szCs w:val="24"/>
        </w:rPr>
        <w:t xml:space="preserve">pplication has been submitted on </w:t>
      </w:r>
      <w:r>
        <w:rPr>
          <w:rFonts w:cs="Arial"/>
          <w:szCs w:val="24"/>
        </w:rPr>
        <w:t xml:space="preserve">the basis that the </w:t>
      </w:r>
      <w:r w:rsidR="00373857">
        <w:rPr>
          <w:rFonts w:cs="Arial"/>
          <w:szCs w:val="24"/>
        </w:rPr>
        <w:t>L</w:t>
      </w:r>
      <w:r w:rsidR="009267CD">
        <w:rPr>
          <w:rFonts w:cs="Arial"/>
          <w:szCs w:val="24"/>
        </w:rPr>
        <w:t xml:space="preserve">and has become a village green because a significant number of the inhabitants of the Parish of </w:t>
      </w:r>
      <w:proofErr w:type="spellStart"/>
      <w:r w:rsidR="009267CD">
        <w:rPr>
          <w:rFonts w:cs="Arial"/>
          <w:szCs w:val="24"/>
        </w:rPr>
        <w:t>Eccleston</w:t>
      </w:r>
      <w:proofErr w:type="spellEnd"/>
      <w:r w:rsidR="009267CD">
        <w:rPr>
          <w:rFonts w:cs="Arial"/>
          <w:szCs w:val="24"/>
        </w:rPr>
        <w:t xml:space="preserve"> have indulged as of right in lawful sports and pastimes on the </w:t>
      </w:r>
      <w:r w:rsidR="00FA41F2">
        <w:rPr>
          <w:rFonts w:cs="Arial"/>
          <w:szCs w:val="24"/>
        </w:rPr>
        <w:t>L</w:t>
      </w:r>
      <w:r w:rsidR="009267CD">
        <w:rPr>
          <w:rFonts w:cs="Arial"/>
          <w:szCs w:val="24"/>
        </w:rPr>
        <w:t xml:space="preserve">and for a period of at least 20 years. For the purposes of the qualifying period, the </w:t>
      </w:r>
      <w:r w:rsidR="00FA41F2">
        <w:rPr>
          <w:rFonts w:cs="Arial"/>
          <w:szCs w:val="24"/>
        </w:rPr>
        <w:t>L</w:t>
      </w:r>
      <w:r w:rsidR="009267CD">
        <w:rPr>
          <w:rFonts w:cs="Arial"/>
          <w:szCs w:val="24"/>
        </w:rPr>
        <w:t>and shown edged red attached as AB/Doc 2 at page 224 has bee</w:t>
      </w:r>
      <w:r w:rsidR="00373857">
        <w:rPr>
          <w:rFonts w:cs="Arial"/>
          <w:szCs w:val="24"/>
        </w:rPr>
        <w:t xml:space="preserve">n sub-divided. The </w:t>
      </w:r>
      <w:r w:rsidR="00FA41F2">
        <w:rPr>
          <w:rFonts w:cs="Arial"/>
          <w:szCs w:val="24"/>
        </w:rPr>
        <w:t xml:space="preserve">Application in respect of the </w:t>
      </w:r>
      <w:r w:rsidR="00373857">
        <w:rPr>
          <w:rFonts w:cs="Arial"/>
          <w:szCs w:val="24"/>
        </w:rPr>
        <w:t>L</w:t>
      </w:r>
      <w:r w:rsidR="009267CD">
        <w:rPr>
          <w:rFonts w:cs="Arial"/>
          <w:szCs w:val="24"/>
        </w:rPr>
        <w:t xml:space="preserve">and shown edged yellow is made pursuant to </w:t>
      </w:r>
      <w:proofErr w:type="gramStart"/>
      <w:r w:rsidR="009267CD">
        <w:rPr>
          <w:rFonts w:cs="Arial"/>
          <w:szCs w:val="24"/>
        </w:rPr>
        <w:t>s15(</w:t>
      </w:r>
      <w:proofErr w:type="gramEnd"/>
      <w:r w:rsidR="009267CD">
        <w:rPr>
          <w:rFonts w:cs="Arial"/>
          <w:szCs w:val="24"/>
        </w:rPr>
        <w:t>2) to which use continued at the time of the application</w:t>
      </w:r>
      <w:r w:rsidR="002B397D">
        <w:rPr>
          <w:rFonts w:cs="Arial"/>
          <w:szCs w:val="24"/>
        </w:rPr>
        <w:t xml:space="preserve"> </w:t>
      </w:r>
      <w:r w:rsidR="009267CD">
        <w:rPr>
          <w:rFonts w:cs="Arial"/>
          <w:szCs w:val="24"/>
        </w:rPr>
        <w:t>('the Bradley La</w:t>
      </w:r>
      <w:r w:rsidR="00373857">
        <w:rPr>
          <w:rFonts w:cs="Arial"/>
          <w:szCs w:val="24"/>
        </w:rPr>
        <w:t>ne Field') and th</w:t>
      </w:r>
      <w:r>
        <w:rPr>
          <w:rFonts w:cs="Arial"/>
          <w:szCs w:val="24"/>
        </w:rPr>
        <w:t>e A</w:t>
      </w:r>
      <w:r w:rsidR="00373857">
        <w:rPr>
          <w:rFonts w:cs="Arial"/>
          <w:szCs w:val="24"/>
        </w:rPr>
        <w:t>pplication</w:t>
      </w:r>
      <w:r w:rsidR="00FA41F2">
        <w:rPr>
          <w:rFonts w:cs="Arial"/>
          <w:szCs w:val="24"/>
        </w:rPr>
        <w:t xml:space="preserve"> in respect of the </w:t>
      </w:r>
      <w:r w:rsidR="00373857">
        <w:rPr>
          <w:rFonts w:cs="Arial"/>
          <w:szCs w:val="24"/>
        </w:rPr>
        <w:t>L</w:t>
      </w:r>
      <w:r w:rsidR="009267CD">
        <w:rPr>
          <w:rFonts w:cs="Arial"/>
          <w:szCs w:val="24"/>
        </w:rPr>
        <w:t xml:space="preserve">and shown edged blue is made pursuant to </w:t>
      </w:r>
      <w:r w:rsidR="002B397D">
        <w:rPr>
          <w:rFonts w:cs="Arial"/>
          <w:szCs w:val="24"/>
        </w:rPr>
        <w:t>s15(</w:t>
      </w:r>
      <w:r w:rsidR="009267CD">
        <w:rPr>
          <w:rFonts w:cs="Arial"/>
          <w:szCs w:val="24"/>
        </w:rPr>
        <w:t>3) to which use cea</w:t>
      </w:r>
      <w:r w:rsidR="00373857">
        <w:rPr>
          <w:rFonts w:cs="Arial"/>
          <w:szCs w:val="24"/>
        </w:rPr>
        <w:t>sed after 6 April 2007 and the A</w:t>
      </w:r>
      <w:r w:rsidR="009267CD">
        <w:rPr>
          <w:rFonts w:cs="Arial"/>
          <w:szCs w:val="24"/>
        </w:rPr>
        <w:t xml:space="preserve">pplication is made within two years of the date on which use ceased ("the Bradley Lane Pond"). </w:t>
      </w:r>
    </w:p>
    <w:p w:rsidR="003C056B" w:rsidRDefault="003C056B" w:rsidP="00A022EE">
      <w:pPr>
        <w:pStyle w:val="ListParagraph"/>
        <w:spacing w:after="0" w:line="240" w:lineRule="auto"/>
        <w:ind w:left="0"/>
        <w:rPr>
          <w:rFonts w:cs="Arial"/>
        </w:rPr>
      </w:pPr>
    </w:p>
    <w:p w:rsidR="00F038DD" w:rsidRDefault="00F038DD" w:rsidP="00B776D3">
      <w:pPr>
        <w:rPr>
          <w:rFonts w:cs="Arial"/>
          <w:b/>
          <w:szCs w:val="24"/>
        </w:rPr>
      </w:pPr>
      <w:r>
        <w:rPr>
          <w:rFonts w:cs="Arial"/>
          <w:b/>
          <w:szCs w:val="24"/>
        </w:rPr>
        <w:t>ADVICE</w:t>
      </w:r>
    </w:p>
    <w:p w:rsidR="00F038DD" w:rsidRDefault="00F038DD" w:rsidP="00B776D3">
      <w:pPr>
        <w:rPr>
          <w:rFonts w:cs="Arial"/>
          <w:b/>
          <w:szCs w:val="24"/>
        </w:rPr>
      </w:pPr>
    </w:p>
    <w:p w:rsidR="00EA6A0F" w:rsidRDefault="00F038DD" w:rsidP="00B776D3">
      <w:pPr>
        <w:rPr>
          <w:rFonts w:cs="Arial"/>
          <w:b/>
          <w:szCs w:val="24"/>
        </w:rPr>
      </w:pPr>
      <w:r w:rsidRPr="00EA6A0F">
        <w:rPr>
          <w:rFonts w:cs="Arial"/>
          <w:b/>
          <w:szCs w:val="24"/>
        </w:rPr>
        <w:t xml:space="preserve">The Evidence </w:t>
      </w:r>
    </w:p>
    <w:p w:rsidR="00A1335F" w:rsidRDefault="00A1335F" w:rsidP="00B776D3">
      <w:pPr>
        <w:rPr>
          <w:rFonts w:cs="Arial"/>
          <w:b/>
          <w:szCs w:val="24"/>
        </w:rPr>
      </w:pPr>
    </w:p>
    <w:p w:rsidR="00A1335F" w:rsidRPr="00790B51" w:rsidRDefault="00A1335F" w:rsidP="00B776D3">
      <w:pPr>
        <w:rPr>
          <w:rFonts w:cs="Arial"/>
          <w:szCs w:val="24"/>
          <w:u w:val="single"/>
        </w:rPr>
      </w:pPr>
      <w:r w:rsidRPr="00790B51">
        <w:rPr>
          <w:rFonts w:cs="Arial"/>
          <w:szCs w:val="24"/>
          <w:u w:val="single"/>
        </w:rPr>
        <w:t xml:space="preserve">Case for Applicant </w:t>
      </w:r>
    </w:p>
    <w:p w:rsidR="00EA6A0F" w:rsidRDefault="00EA6A0F" w:rsidP="00B776D3">
      <w:pPr>
        <w:rPr>
          <w:rFonts w:cs="Arial"/>
          <w:b/>
          <w:szCs w:val="24"/>
        </w:rPr>
      </w:pPr>
    </w:p>
    <w:p w:rsidR="00F038DD" w:rsidRDefault="005D6372" w:rsidP="00B776D3">
      <w:pPr>
        <w:rPr>
          <w:rFonts w:cs="Arial"/>
          <w:szCs w:val="24"/>
        </w:rPr>
      </w:pPr>
      <w:r w:rsidRPr="005D6372">
        <w:rPr>
          <w:rFonts w:cs="Arial"/>
          <w:szCs w:val="24"/>
        </w:rPr>
        <w:t xml:space="preserve">As </w:t>
      </w:r>
      <w:r w:rsidR="00AB1A7D">
        <w:rPr>
          <w:rFonts w:cs="Arial"/>
          <w:szCs w:val="24"/>
        </w:rPr>
        <w:t xml:space="preserve">the Applicant </w:t>
      </w:r>
      <w:r w:rsidRPr="005D6372">
        <w:rPr>
          <w:rFonts w:cs="Arial"/>
          <w:szCs w:val="24"/>
        </w:rPr>
        <w:t xml:space="preserve">indicated, </w:t>
      </w:r>
      <w:r w:rsidR="009B118D">
        <w:rPr>
          <w:rFonts w:cs="Arial"/>
          <w:szCs w:val="24"/>
        </w:rPr>
        <w:t xml:space="preserve">he </w:t>
      </w:r>
      <w:r w:rsidRPr="005D6372">
        <w:rPr>
          <w:rFonts w:cs="Arial"/>
          <w:szCs w:val="24"/>
        </w:rPr>
        <w:t>did not attend the Hearing. Therefore, there was no oral evidence on behalf of the Applicant</w:t>
      </w:r>
      <w:r>
        <w:rPr>
          <w:rFonts w:cs="Arial"/>
          <w:szCs w:val="24"/>
        </w:rPr>
        <w:t xml:space="preserve"> or no other person in support of the Application.</w:t>
      </w:r>
      <w:r w:rsidR="00DF1A79">
        <w:rPr>
          <w:rFonts w:cs="Arial"/>
          <w:szCs w:val="24"/>
        </w:rPr>
        <w:t xml:space="preserve"> </w:t>
      </w:r>
      <w:r w:rsidR="00F038DD">
        <w:rPr>
          <w:rFonts w:cs="Arial"/>
          <w:szCs w:val="24"/>
        </w:rPr>
        <w:t xml:space="preserve">Whilst </w:t>
      </w:r>
      <w:proofErr w:type="gramStart"/>
      <w:r w:rsidR="00F038DD">
        <w:rPr>
          <w:rFonts w:cs="Arial"/>
          <w:szCs w:val="24"/>
        </w:rPr>
        <w:t xml:space="preserve">all </w:t>
      </w:r>
      <w:r w:rsidR="00A022EE">
        <w:rPr>
          <w:rFonts w:cs="Arial"/>
          <w:szCs w:val="24"/>
        </w:rPr>
        <w:t>the</w:t>
      </w:r>
      <w:proofErr w:type="gramEnd"/>
      <w:r w:rsidR="0037126D">
        <w:rPr>
          <w:rFonts w:cs="Arial"/>
          <w:szCs w:val="24"/>
        </w:rPr>
        <w:t xml:space="preserve"> Applicant's</w:t>
      </w:r>
      <w:r w:rsidR="00A022EE">
        <w:rPr>
          <w:rFonts w:cs="Arial"/>
          <w:szCs w:val="24"/>
        </w:rPr>
        <w:t xml:space="preserve"> </w:t>
      </w:r>
      <w:r w:rsidR="00F038DD">
        <w:rPr>
          <w:rFonts w:cs="Arial"/>
          <w:szCs w:val="24"/>
        </w:rPr>
        <w:t xml:space="preserve">written evidence must be taken into account, the Registration Authority must bear in mind that it has not been tested by cross examination nor made available to be so tested and as such, the Registration Authority should attribute such evidence less weight. </w:t>
      </w:r>
    </w:p>
    <w:p w:rsidR="009267CD" w:rsidRDefault="009267CD" w:rsidP="00B776D3">
      <w:pPr>
        <w:rPr>
          <w:rFonts w:cs="Arial"/>
          <w:szCs w:val="24"/>
        </w:rPr>
      </w:pPr>
    </w:p>
    <w:p w:rsidR="00A1335F" w:rsidRDefault="003D1269" w:rsidP="00B776D3">
      <w:pPr>
        <w:rPr>
          <w:rFonts w:cs="Arial"/>
          <w:szCs w:val="24"/>
        </w:rPr>
      </w:pPr>
      <w:r>
        <w:rPr>
          <w:rFonts w:cs="Arial"/>
          <w:szCs w:val="24"/>
        </w:rPr>
        <w:t xml:space="preserve">The Objector has </w:t>
      </w:r>
      <w:r w:rsidR="009B118D">
        <w:rPr>
          <w:rFonts w:cs="Arial"/>
          <w:szCs w:val="24"/>
        </w:rPr>
        <w:t xml:space="preserve">commented </w:t>
      </w:r>
      <w:r>
        <w:rPr>
          <w:rFonts w:cs="Arial"/>
          <w:szCs w:val="24"/>
        </w:rPr>
        <w:t xml:space="preserve">in OB/Doc16 on the quality of the written user form evidence that </w:t>
      </w:r>
      <w:r w:rsidR="00656690">
        <w:rPr>
          <w:rFonts w:cs="Arial"/>
          <w:szCs w:val="24"/>
        </w:rPr>
        <w:t>"</w:t>
      </w:r>
      <w:r>
        <w:rPr>
          <w:rFonts w:cs="Arial"/>
          <w:szCs w:val="24"/>
        </w:rPr>
        <w:t>given the nature of the stand</w:t>
      </w:r>
      <w:r w:rsidR="00656690">
        <w:rPr>
          <w:rFonts w:cs="Arial"/>
          <w:szCs w:val="24"/>
        </w:rPr>
        <w:t>ard</w:t>
      </w:r>
      <w:r>
        <w:rPr>
          <w:rFonts w:cs="Arial"/>
          <w:szCs w:val="24"/>
        </w:rPr>
        <w:t xml:space="preserve"> Open Spaces Society user forms, the entries that are made in them are often brief. A few words used to describe user cannot be afforded much weight without explanation or testing. This is </w:t>
      </w:r>
      <w:r w:rsidR="00656690">
        <w:rPr>
          <w:rFonts w:cs="Arial"/>
          <w:szCs w:val="24"/>
        </w:rPr>
        <w:t>because it is not possible to f</w:t>
      </w:r>
      <w:r>
        <w:rPr>
          <w:rFonts w:cs="Arial"/>
          <w:szCs w:val="24"/>
        </w:rPr>
        <w:t xml:space="preserve">orm a true impression of the nature and quality of that </w:t>
      </w:r>
      <w:r w:rsidR="00656690">
        <w:rPr>
          <w:rFonts w:cs="Arial"/>
          <w:szCs w:val="24"/>
        </w:rPr>
        <w:t>evidence</w:t>
      </w:r>
      <w:r>
        <w:rPr>
          <w:rFonts w:cs="Arial"/>
          <w:szCs w:val="24"/>
        </w:rPr>
        <w:t xml:space="preserve"> from such brief descriptions. If a person describes more than one activity and say that they visited the site with a given frequency over a lengthy period of time, it is not possible to test whether the user occurred as claimed (or at all), whether the nature of the user changed over time, what activities were conducted with what frequency, where and when they were carried out, whether user was </w:t>
      </w:r>
      <w:r w:rsidR="00656690">
        <w:rPr>
          <w:rFonts w:cs="Arial"/>
          <w:szCs w:val="24"/>
        </w:rPr>
        <w:t>spread</w:t>
      </w:r>
      <w:r>
        <w:rPr>
          <w:rFonts w:cs="Arial"/>
          <w:szCs w:val="24"/>
        </w:rPr>
        <w:t xml:space="preserve"> across the site so that it can be said that the whole of the applicatio</w:t>
      </w:r>
      <w:r w:rsidR="00656690">
        <w:rPr>
          <w:rFonts w:cs="Arial"/>
          <w:szCs w:val="24"/>
        </w:rPr>
        <w:t>n land was used and so on."</w:t>
      </w:r>
      <w:r w:rsidR="003651DF">
        <w:rPr>
          <w:rFonts w:cs="Arial"/>
          <w:szCs w:val="24"/>
        </w:rPr>
        <w:t xml:space="preserve"> </w:t>
      </w:r>
      <w:r w:rsidR="00A022EE">
        <w:rPr>
          <w:rFonts w:cs="Arial"/>
          <w:szCs w:val="24"/>
        </w:rPr>
        <w:t xml:space="preserve">This ought to be accepted. </w:t>
      </w:r>
    </w:p>
    <w:p w:rsidR="00790B51" w:rsidRDefault="00790B51" w:rsidP="00B776D3">
      <w:pPr>
        <w:rPr>
          <w:rFonts w:cs="Arial"/>
          <w:szCs w:val="24"/>
        </w:rPr>
      </w:pPr>
    </w:p>
    <w:p w:rsidR="00A1335F" w:rsidRPr="00790B51" w:rsidRDefault="00A1335F" w:rsidP="00B776D3">
      <w:pPr>
        <w:rPr>
          <w:rFonts w:cs="Arial"/>
          <w:szCs w:val="24"/>
          <w:u w:val="single"/>
        </w:rPr>
      </w:pPr>
      <w:r w:rsidRPr="00790B51">
        <w:rPr>
          <w:rFonts w:cs="Arial"/>
          <w:szCs w:val="24"/>
          <w:u w:val="single"/>
        </w:rPr>
        <w:t xml:space="preserve">Case for Objector </w:t>
      </w:r>
    </w:p>
    <w:p w:rsidR="00F038DD" w:rsidRDefault="00F038DD" w:rsidP="00B776D3">
      <w:pPr>
        <w:rPr>
          <w:rFonts w:cs="Arial"/>
          <w:szCs w:val="24"/>
        </w:rPr>
      </w:pPr>
    </w:p>
    <w:p w:rsidR="004670B7" w:rsidRDefault="00DF1A79" w:rsidP="00B776D3">
      <w:pPr>
        <w:rPr>
          <w:rFonts w:cs="Arial"/>
          <w:szCs w:val="24"/>
        </w:rPr>
      </w:pPr>
      <w:r>
        <w:rPr>
          <w:rFonts w:cs="Arial"/>
          <w:szCs w:val="24"/>
        </w:rPr>
        <w:t>Oral evidence objecting to the Application was given by</w:t>
      </w:r>
      <w:r w:rsidR="00656690">
        <w:rPr>
          <w:rFonts w:cs="Arial"/>
          <w:szCs w:val="24"/>
        </w:rPr>
        <w:t xml:space="preserve"> </w:t>
      </w:r>
      <w:r w:rsidR="00203E5C">
        <w:rPr>
          <w:rFonts w:cs="Arial"/>
          <w:szCs w:val="24"/>
        </w:rPr>
        <w:t xml:space="preserve">Mr </w:t>
      </w:r>
      <w:r w:rsidR="00656690">
        <w:rPr>
          <w:rFonts w:cs="Arial"/>
          <w:szCs w:val="24"/>
        </w:rPr>
        <w:t xml:space="preserve">Patrick </w:t>
      </w:r>
      <w:proofErr w:type="spellStart"/>
      <w:r w:rsidR="00656690">
        <w:rPr>
          <w:rFonts w:cs="Arial"/>
          <w:szCs w:val="24"/>
        </w:rPr>
        <w:t>Hemmings</w:t>
      </w:r>
      <w:proofErr w:type="spellEnd"/>
      <w:r w:rsidR="00656690">
        <w:rPr>
          <w:rFonts w:cs="Arial"/>
          <w:szCs w:val="24"/>
        </w:rPr>
        <w:t xml:space="preserve"> who read his s</w:t>
      </w:r>
      <w:r>
        <w:rPr>
          <w:rFonts w:cs="Arial"/>
          <w:szCs w:val="24"/>
        </w:rPr>
        <w:t xml:space="preserve">ummary </w:t>
      </w:r>
      <w:r w:rsidR="00656690">
        <w:rPr>
          <w:rFonts w:cs="Arial"/>
          <w:szCs w:val="24"/>
        </w:rPr>
        <w:t>w</w:t>
      </w:r>
      <w:r>
        <w:rPr>
          <w:rFonts w:cs="Arial"/>
          <w:szCs w:val="24"/>
        </w:rPr>
        <w:t xml:space="preserve">itness </w:t>
      </w:r>
      <w:r w:rsidR="00656690">
        <w:rPr>
          <w:rFonts w:cs="Arial"/>
          <w:szCs w:val="24"/>
        </w:rPr>
        <w:t>s</w:t>
      </w:r>
      <w:r w:rsidR="002B397D">
        <w:rPr>
          <w:rFonts w:cs="Arial"/>
          <w:szCs w:val="24"/>
        </w:rPr>
        <w:t>tatement at OB/Doc3</w:t>
      </w:r>
      <w:r w:rsidR="009B118D">
        <w:rPr>
          <w:rFonts w:cs="Arial"/>
          <w:szCs w:val="24"/>
        </w:rPr>
        <w:t xml:space="preserve"> </w:t>
      </w:r>
      <w:r>
        <w:rPr>
          <w:rFonts w:cs="Arial"/>
          <w:szCs w:val="24"/>
        </w:rPr>
        <w:t>expanded upon at the Hearing</w:t>
      </w:r>
      <w:r w:rsidR="009B118D">
        <w:rPr>
          <w:rFonts w:cs="Arial"/>
          <w:szCs w:val="24"/>
        </w:rPr>
        <w:t>,</w:t>
      </w:r>
      <w:r>
        <w:rPr>
          <w:rFonts w:cs="Arial"/>
          <w:szCs w:val="24"/>
        </w:rPr>
        <w:t xml:space="preserve"> and answered questions </w:t>
      </w:r>
      <w:r w:rsidR="002B397D">
        <w:rPr>
          <w:rFonts w:cs="Arial"/>
          <w:szCs w:val="24"/>
        </w:rPr>
        <w:t xml:space="preserve">by the Sub </w:t>
      </w:r>
      <w:r>
        <w:rPr>
          <w:rFonts w:cs="Arial"/>
          <w:szCs w:val="24"/>
        </w:rPr>
        <w:t>Committee</w:t>
      </w:r>
      <w:r w:rsidR="007B711A">
        <w:rPr>
          <w:rFonts w:cs="Arial"/>
          <w:szCs w:val="24"/>
        </w:rPr>
        <w:t xml:space="preserve"> </w:t>
      </w:r>
      <w:r w:rsidR="002B397D">
        <w:rPr>
          <w:rFonts w:cs="Arial"/>
          <w:szCs w:val="24"/>
        </w:rPr>
        <w:t xml:space="preserve">for the purposes of clarification, </w:t>
      </w:r>
      <w:r w:rsidR="007B711A">
        <w:rPr>
          <w:rFonts w:cs="Arial"/>
          <w:szCs w:val="24"/>
        </w:rPr>
        <w:t>making reference to his fu</w:t>
      </w:r>
      <w:r w:rsidR="002B397D">
        <w:rPr>
          <w:rFonts w:cs="Arial"/>
          <w:szCs w:val="24"/>
        </w:rPr>
        <w:t xml:space="preserve">ll </w:t>
      </w:r>
      <w:r w:rsidR="00203E5C">
        <w:rPr>
          <w:rFonts w:cs="Arial"/>
          <w:szCs w:val="24"/>
        </w:rPr>
        <w:t>w</w:t>
      </w:r>
      <w:r w:rsidR="002B397D">
        <w:rPr>
          <w:rFonts w:cs="Arial"/>
          <w:szCs w:val="24"/>
        </w:rPr>
        <w:t xml:space="preserve">itness </w:t>
      </w:r>
      <w:r w:rsidR="00203E5C">
        <w:rPr>
          <w:rFonts w:cs="Arial"/>
          <w:szCs w:val="24"/>
        </w:rPr>
        <w:t>s</w:t>
      </w:r>
      <w:r w:rsidR="002B397D">
        <w:rPr>
          <w:rFonts w:cs="Arial"/>
          <w:szCs w:val="24"/>
        </w:rPr>
        <w:t>tatement at OB/Doc2</w:t>
      </w:r>
      <w:r w:rsidR="007B711A">
        <w:rPr>
          <w:rFonts w:cs="Arial"/>
          <w:szCs w:val="24"/>
        </w:rPr>
        <w:t xml:space="preserve">. </w:t>
      </w:r>
      <w:r w:rsidR="000F157F">
        <w:rPr>
          <w:rFonts w:cs="Arial"/>
          <w:szCs w:val="24"/>
        </w:rPr>
        <w:t>T</w:t>
      </w:r>
      <w:r w:rsidR="002B397D">
        <w:rPr>
          <w:rFonts w:cs="Arial"/>
          <w:szCs w:val="24"/>
        </w:rPr>
        <w:t xml:space="preserve">he </w:t>
      </w:r>
      <w:r>
        <w:rPr>
          <w:rFonts w:cs="Arial"/>
          <w:szCs w:val="24"/>
        </w:rPr>
        <w:t>contents of</w:t>
      </w:r>
      <w:r w:rsidR="007B711A">
        <w:rPr>
          <w:rFonts w:cs="Arial"/>
          <w:szCs w:val="24"/>
        </w:rPr>
        <w:t xml:space="preserve"> </w:t>
      </w:r>
      <w:r w:rsidR="002B397D">
        <w:rPr>
          <w:rFonts w:cs="Arial"/>
          <w:szCs w:val="24"/>
        </w:rPr>
        <w:t xml:space="preserve">Mr </w:t>
      </w:r>
      <w:proofErr w:type="spellStart"/>
      <w:r w:rsidR="002B397D">
        <w:rPr>
          <w:rFonts w:cs="Arial"/>
          <w:szCs w:val="24"/>
        </w:rPr>
        <w:t>Hemmings</w:t>
      </w:r>
      <w:proofErr w:type="spellEnd"/>
      <w:r w:rsidR="00203E5C">
        <w:rPr>
          <w:rFonts w:cs="Arial"/>
          <w:szCs w:val="24"/>
        </w:rPr>
        <w:t>'</w:t>
      </w:r>
      <w:r w:rsidR="002B397D">
        <w:rPr>
          <w:rFonts w:cs="Arial"/>
          <w:szCs w:val="24"/>
        </w:rPr>
        <w:t xml:space="preserve"> </w:t>
      </w:r>
      <w:r w:rsidR="007B711A">
        <w:rPr>
          <w:rFonts w:cs="Arial"/>
          <w:szCs w:val="24"/>
        </w:rPr>
        <w:t xml:space="preserve">oral evidence </w:t>
      </w:r>
      <w:r w:rsidR="00203E5C">
        <w:rPr>
          <w:rFonts w:cs="Arial"/>
          <w:szCs w:val="24"/>
        </w:rPr>
        <w:t xml:space="preserve">is </w:t>
      </w:r>
      <w:r>
        <w:rPr>
          <w:rFonts w:cs="Arial"/>
          <w:szCs w:val="24"/>
        </w:rPr>
        <w:t>confirmed</w:t>
      </w:r>
      <w:r w:rsidR="002B397D">
        <w:rPr>
          <w:rFonts w:cs="Arial"/>
          <w:szCs w:val="24"/>
        </w:rPr>
        <w:t xml:space="preserve"> </w:t>
      </w:r>
      <w:r>
        <w:rPr>
          <w:rFonts w:cs="Arial"/>
          <w:szCs w:val="24"/>
        </w:rPr>
        <w:t xml:space="preserve">in the </w:t>
      </w:r>
      <w:r w:rsidR="000F157F">
        <w:rPr>
          <w:rFonts w:cs="Arial"/>
          <w:szCs w:val="24"/>
        </w:rPr>
        <w:t xml:space="preserve">Objector's </w:t>
      </w:r>
      <w:r>
        <w:rPr>
          <w:rFonts w:cs="Arial"/>
          <w:szCs w:val="24"/>
        </w:rPr>
        <w:t>closing submissions</w:t>
      </w:r>
      <w:r w:rsidR="009B118D" w:rsidRPr="009B118D">
        <w:rPr>
          <w:rFonts w:cs="Arial"/>
          <w:szCs w:val="24"/>
        </w:rPr>
        <w:t xml:space="preserve"> </w:t>
      </w:r>
      <w:r w:rsidR="009B118D">
        <w:rPr>
          <w:rFonts w:cs="Arial"/>
          <w:szCs w:val="24"/>
        </w:rPr>
        <w:t>and ought to be accepted as a true record</w:t>
      </w:r>
      <w:r>
        <w:rPr>
          <w:rFonts w:cs="Arial"/>
          <w:szCs w:val="24"/>
        </w:rPr>
        <w:t xml:space="preserve"> at OB/Doc16</w:t>
      </w:r>
      <w:r w:rsidR="00656690">
        <w:rPr>
          <w:rFonts w:cs="Arial"/>
          <w:szCs w:val="24"/>
        </w:rPr>
        <w:t xml:space="preserve"> and </w:t>
      </w:r>
      <w:r w:rsidR="00A022EE">
        <w:rPr>
          <w:rFonts w:cs="Arial"/>
          <w:szCs w:val="24"/>
        </w:rPr>
        <w:t xml:space="preserve">also </w:t>
      </w:r>
      <w:r w:rsidR="009B118D">
        <w:rPr>
          <w:rFonts w:cs="Arial"/>
          <w:szCs w:val="24"/>
        </w:rPr>
        <w:t xml:space="preserve">referred to </w:t>
      </w:r>
      <w:r w:rsidR="000F157F">
        <w:rPr>
          <w:rFonts w:cs="Arial"/>
          <w:szCs w:val="24"/>
        </w:rPr>
        <w:t xml:space="preserve">when </w:t>
      </w:r>
      <w:r w:rsidR="00656690">
        <w:rPr>
          <w:rFonts w:cs="Arial"/>
          <w:szCs w:val="24"/>
        </w:rPr>
        <w:t>considering the elements of section (15(2) and 15(3)</w:t>
      </w:r>
      <w:r w:rsidR="007B711A">
        <w:rPr>
          <w:rFonts w:cs="Arial"/>
          <w:szCs w:val="24"/>
        </w:rPr>
        <w:t xml:space="preserve"> below</w:t>
      </w:r>
      <w:r>
        <w:rPr>
          <w:rFonts w:cs="Arial"/>
          <w:szCs w:val="24"/>
        </w:rPr>
        <w:t>.</w:t>
      </w:r>
      <w:r w:rsidR="00A1335F">
        <w:rPr>
          <w:rFonts w:cs="Arial"/>
          <w:szCs w:val="24"/>
        </w:rPr>
        <w:t xml:space="preserve"> Mr </w:t>
      </w:r>
      <w:proofErr w:type="spellStart"/>
      <w:r w:rsidR="00A1335F">
        <w:rPr>
          <w:rFonts w:cs="Arial"/>
          <w:szCs w:val="24"/>
        </w:rPr>
        <w:t>Hemmings</w:t>
      </w:r>
      <w:proofErr w:type="spellEnd"/>
      <w:r w:rsidR="00A1335F">
        <w:rPr>
          <w:rFonts w:cs="Arial"/>
          <w:szCs w:val="24"/>
        </w:rPr>
        <w:t xml:space="preserve"> gave oral evidence in an open, straightforward and helpful way and was regarded as giving credible evidence </w:t>
      </w:r>
      <w:r w:rsidR="003C056B">
        <w:rPr>
          <w:rFonts w:cs="Arial"/>
          <w:szCs w:val="24"/>
        </w:rPr>
        <w:t xml:space="preserve">that ought to be accepted. </w:t>
      </w:r>
      <w:r w:rsidR="00A1335F">
        <w:rPr>
          <w:rFonts w:cs="Arial"/>
          <w:szCs w:val="24"/>
        </w:rPr>
        <w:t xml:space="preserve"> </w:t>
      </w:r>
    </w:p>
    <w:p w:rsidR="004670B7" w:rsidRDefault="004670B7" w:rsidP="00B776D3">
      <w:pPr>
        <w:rPr>
          <w:rFonts w:cs="Arial"/>
          <w:szCs w:val="24"/>
        </w:rPr>
      </w:pPr>
    </w:p>
    <w:p w:rsidR="004670B7" w:rsidRDefault="00A1335F" w:rsidP="00B776D3">
      <w:pPr>
        <w:rPr>
          <w:rFonts w:cs="Arial"/>
          <w:szCs w:val="24"/>
        </w:rPr>
      </w:pPr>
      <w:r>
        <w:rPr>
          <w:rFonts w:cs="Arial"/>
          <w:szCs w:val="24"/>
        </w:rPr>
        <w:t xml:space="preserve">In addition, three </w:t>
      </w:r>
      <w:r w:rsidR="00FA2FA4">
        <w:rPr>
          <w:rFonts w:cs="Arial"/>
          <w:szCs w:val="24"/>
        </w:rPr>
        <w:t xml:space="preserve">other witnesses provided </w:t>
      </w:r>
      <w:r>
        <w:rPr>
          <w:rFonts w:cs="Arial"/>
          <w:szCs w:val="24"/>
        </w:rPr>
        <w:t xml:space="preserve">statements contained in the Objector's </w:t>
      </w:r>
      <w:r w:rsidR="009B118D">
        <w:rPr>
          <w:rFonts w:cs="Arial"/>
          <w:szCs w:val="24"/>
        </w:rPr>
        <w:t>Bundle,</w:t>
      </w:r>
      <w:r w:rsidR="004670B7">
        <w:rPr>
          <w:rFonts w:cs="Arial"/>
          <w:szCs w:val="24"/>
        </w:rPr>
        <w:t xml:space="preserve"> again the Registration Authority must bear in mind that in relation to the elements of that evidence which has not been tested by cross examination</w:t>
      </w:r>
      <w:r w:rsidR="00A022EE">
        <w:rPr>
          <w:rFonts w:cs="Arial"/>
          <w:szCs w:val="24"/>
        </w:rPr>
        <w:t>,</w:t>
      </w:r>
      <w:r w:rsidR="004670B7">
        <w:rPr>
          <w:rFonts w:cs="Arial"/>
          <w:szCs w:val="24"/>
        </w:rPr>
        <w:t xml:space="preserve"> </w:t>
      </w:r>
      <w:r w:rsidR="00FA2FA4">
        <w:rPr>
          <w:rFonts w:cs="Arial"/>
          <w:szCs w:val="24"/>
        </w:rPr>
        <w:t xml:space="preserve">(the Registration Authority did not accept the Objector's invitation for the </w:t>
      </w:r>
      <w:r w:rsidR="004670B7">
        <w:rPr>
          <w:rFonts w:cs="Arial"/>
          <w:szCs w:val="24"/>
        </w:rPr>
        <w:t>Sub</w:t>
      </w:r>
      <w:r w:rsidR="007B711A">
        <w:rPr>
          <w:rFonts w:cs="Arial"/>
          <w:szCs w:val="24"/>
        </w:rPr>
        <w:t xml:space="preserve"> </w:t>
      </w:r>
      <w:r w:rsidR="004670B7">
        <w:rPr>
          <w:rFonts w:cs="Arial"/>
          <w:szCs w:val="24"/>
        </w:rPr>
        <w:t>Committee to ask questions</w:t>
      </w:r>
      <w:r w:rsidR="007B711A">
        <w:rPr>
          <w:rFonts w:cs="Arial"/>
          <w:szCs w:val="24"/>
        </w:rPr>
        <w:t xml:space="preserve"> of those witnesses </w:t>
      </w:r>
      <w:r w:rsidR="000F157F">
        <w:rPr>
          <w:rFonts w:cs="Arial"/>
          <w:szCs w:val="24"/>
        </w:rPr>
        <w:t xml:space="preserve">prior to the Hearing </w:t>
      </w:r>
      <w:r w:rsidR="00A4339B">
        <w:rPr>
          <w:rFonts w:cs="Arial"/>
          <w:szCs w:val="24"/>
        </w:rPr>
        <w:t>due to time constraints and in the interests of fairness</w:t>
      </w:r>
      <w:r w:rsidR="005F4D69">
        <w:rPr>
          <w:rFonts w:cs="Arial"/>
          <w:szCs w:val="24"/>
        </w:rPr>
        <w:t xml:space="preserve"> to both parties</w:t>
      </w:r>
      <w:r w:rsidR="00FA2FA4">
        <w:rPr>
          <w:rFonts w:cs="Arial"/>
          <w:szCs w:val="24"/>
        </w:rPr>
        <w:t xml:space="preserve">) </w:t>
      </w:r>
      <w:r w:rsidR="004670B7">
        <w:rPr>
          <w:rFonts w:cs="Arial"/>
          <w:szCs w:val="24"/>
        </w:rPr>
        <w:t xml:space="preserve">the written evidence must be given less weight than evidence that has been tested. Nonetheless, in relation to the contents of the evidence provided in </w:t>
      </w:r>
      <w:r w:rsidR="00211FA3">
        <w:rPr>
          <w:rFonts w:cs="Arial"/>
          <w:szCs w:val="24"/>
        </w:rPr>
        <w:t xml:space="preserve">two of the three </w:t>
      </w:r>
      <w:r w:rsidR="004670B7">
        <w:rPr>
          <w:rFonts w:cs="Arial"/>
          <w:szCs w:val="24"/>
        </w:rPr>
        <w:t xml:space="preserve">witness statements that </w:t>
      </w:r>
      <w:r w:rsidR="007B711A">
        <w:rPr>
          <w:rFonts w:cs="Arial"/>
          <w:szCs w:val="24"/>
        </w:rPr>
        <w:t xml:space="preserve">is </w:t>
      </w:r>
      <w:r w:rsidR="006D3798">
        <w:rPr>
          <w:rFonts w:cs="Arial"/>
          <w:szCs w:val="24"/>
        </w:rPr>
        <w:t>corroborate</w:t>
      </w:r>
      <w:r w:rsidR="007B711A">
        <w:rPr>
          <w:rFonts w:cs="Arial"/>
          <w:szCs w:val="24"/>
        </w:rPr>
        <w:t>d by</w:t>
      </w:r>
      <w:r w:rsidR="006D3798">
        <w:rPr>
          <w:rFonts w:cs="Arial"/>
          <w:szCs w:val="24"/>
        </w:rPr>
        <w:t xml:space="preserve"> </w:t>
      </w:r>
      <w:r w:rsidR="004670B7">
        <w:rPr>
          <w:rFonts w:cs="Arial"/>
          <w:szCs w:val="24"/>
        </w:rPr>
        <w:t xml:space="preserve">the oral evidence given by Mr </w:t>
      </w:r>
      <w:proofErr w:type="spellStart"/>
      <w:r w:rsidR="004670B7">
        <w:rPr>
          <w:rFonts w:cs="Arial"/>
          <w:szCs w:val="24"/>
        </w:rPr>
        <w:t>Hemmings</w:t>
      </w:r>
      <w:proofErr w:type="spellEnd"/>
      <w:r w:rsidR="004670B7">
        <w:rPr>
          <w:rFonts w:cs="Arial"/>
          <w:szCs w:val="24"/>
        </w:rPr>
        <w:t xml:space="preserve">, </w:t>
      </w:r>
      <w:r w:rsidR="007B711A">
        <w:rPr>
          <w:rFonts w:cs="Arial"/>
          <w:szCs w:val="24"/>
        </w:rPr>
        <w:t xml:space="preserve">that evidence </w:t>
      </w:r>
      <w:r w:rsidR="004670B7">
        <w:rPr>
          <w:rFonts w:cs="Arial"/>
          <w:szCs w:val="24"/>
        </w:rPr>
        <w:t xml:space="preserve">ought to be attributed more weight because </w:t>
      </w:r>
      <w:r w:rsidR="00FA2FA4">
        <w:rPr>
          <w:rFonts w:cs="Arial"/>
          <w:szCs w:val="24"/>
        </w:rPr>
        <w:t xml:space="preserve">Mr </w:t>
      </w:r>
      <w:proofErr w:type="spellStart"/>
      <w:r w:rsidR="00FA2FA4">
        <w:rPr>
          <w:rFonts w:cs="Arial"/>
          <w:szCs w:val="24"/>
        </w:rPr>
        <w:t>Hemmings</w:t>
      </w:r>
      <w:proofErr w:type="spellEnd"/>
      <w:r w:rsidR="00FA2FA4">
        <w:rPr>
          <w:rFonts w:cs="Arial"/>
          <w:szCs w:val="24"/>
        </w:rPr>
        <w:t xml:space="preserve">' </w:t>
      </w:r>
      <w:r w:rsidR="003C056B">
        <w:rPr>
          <w:rFonts w:cs="Arial"/>
          <w:szCs w:val="24"/>
        </w:rPr>
        <w:t>evidence</w:t>
      </w:r>
      <w:r w:rsidR="00FA2FA4">
        <w:rPr>
          <w:rFonts w:cs="Arial"/>
          <w:szCs w:val="24"/>
        </w:rPr>
        <w:t xml:space="preserve"> has been tested. </w:t>
      </w:r>
    </w:p>
    <w:p w:rsidR="007B711A" w:rsidRDefault="007B711A" w:rsidP="00B776D3">
      <w:pPr>
        <w:rPr>
          <w:rFonts w:cs="Arial"/>
          <w:szCs w:val="24"/>
        </w:rPr>
      </w:pPr>
    </w:p>
    <w:p w:rsidR="004670B7" w:rsidRDefault="003C056B" w:rsidP="00B776D3">
      <w:pPr>
        <w:rPr>
          <w:rFonts w:cs="Arial"/>
          <w:b/>
          <w:szCs w:val="24"/>
        </w:rPr>
      </w:pPr>
      <w:r w:rsidRPr="003C056B">
        <w:rPr>
          <w:rFonts w:cs="Arial"/>
          <w:b/>
          <w:szCs w:val="24"/>
        </w:rPr>
        <w:t xml:space="preserve">Application of </w:t>
      </w:r>
      <w:r w:rsidR="009267CD" w:rsidRPr="003C056B">
        <w:rPr>
          <w:rFonts w:cs="Arial"/>
          <w:b/>
          <w:szCs w:val="24"/>
        </w:rPr>
        <w:t>the</w:t>
      </w:r>
      <w:r w:rsidRPr="003C056B">
        <w:rPr>
          <w:rFonts w:cs="Arial"/>
          <w:b/>
          <w:szCs w:val="24"/>
        </w:rPr>
        <w:t xml:space="preserve"> Law </w:t>
      </w:r>
      <w:r w:rsidR="009267CD" w:rsidRPr="003C056B">
        <w:rPr>
          <w:rFonts w:cs="Arial"/>
          <w:b/>
          <w:szCs w:val="24"/>
        </w:rPr>
        <w:t>to</w:t>
      </w:r>
      <w:r w:rsidRPr="003C056B">
        <w:rPr>
          <w:rFonts w:cs="Arial"/>
          <w:b/>
          <w:szCs w:val="24"/>
        </w:rPr>
        <w:t xml:space="preserve"> </w:t>
      </w:r>
      <w:r w:rsidR="009267CD" w:rsidRPr="003C056B">
        <w:rPr>
          <w:rFonts w:cs="Arial"/>
          <w:b/>
          <w:szCs w:val="24"/>
        </w:rPr>
        <w:t>the</w:t>
      </w:r>
      <w:r w:rsidRPr="003C056B">
        <w:rPr>
          <w:rFonts w:cs="Arial"/>
          <w:b/>
          <w:szCs w:val="24"/>
        </w:rPr>
        <w:t xml:space="preserve"> Facts </w:t>
      </w:r>
    </w:p>
    <w:p w:rsidR="003C056B" w:rsidRDefault="003C056B" w:rsidP="00B776D3">
      <w:pPr>
        <w:rPr>
          <w:rFonts w:cs="Arial"/>
          <w:b/>
          <w:szCs w:val="24"/>
        </w:rPr>
      </w:pPr>
    </w:p>
    <w:p w:rsidR="0055089F" w:rsidRDefault="00373857" w:rsidP="00B776D3">
      <w:pPr>
        <w:rPr>
          <w:rFonts w:cs="Arial"/>
          <w:szCs w:val="24"/>
        </w:rPr>
      </w:pPr>
      <w:r>
        <w:rPr>
          <w:rFonts w:cs="Arial"/>
          <w:szCs w:val="24"/>
        </w:rPr>
        <w:t xml:space="preserve">All </w:t>
      </w:r>
      <w:r w:rsidR="009267CD">
        <w:rPr>
          <w:rFonts w:cs="Arial"/>
          <w:szCs w:val="24"/>
        </w:rPr>
        <w:t xml:space="preserve">of the evidence put before the </w:t>
      </w:r>
      <w:r w:rsidR="0055089F">
        <w:rPr>
          <w:rFonts w:cs="Arial"/>
          <w:szCs w:val="24"/>
        </w:rPr>
        <w:t>Hearing</w:t>
      </w:r>
      <w:r w:rsidR="009267CD">
        <w:rPr>
          <w:rFonts w:cs="Arial"/>
          <w:szCs w:val="24"/>
        </w:rPr>
        <w:t xml:space="preserve">, both orally and in writing and the Objector's closing submission at </w:t>
      </w:r>
      <w:r w:rsidR="0055089F">
        <w:rPr>
          <w:rFonts w:cs="Arial"/>
          <w:szCs w:val="24"/>
        </w:rPr>
        <w:t>OB/Doc16</w:t>
      </w:r>
      <w:r w:rsidR="00385802">
        <w:rPr>
          <w:rFonts w:cs="Arial"/>
          <w:szCs w:val="24"/>
        </w:rPr>
        <w:t xml:space="preserve"> has been considered </w:t>
      </w:r>
      <w:r w:rsidR="0055089F">
        <w:rPr>
          <w:rFonts w:cs="Arial"/>
          <w:szCs w:val="24"/>
        </w:rPr>
        <w:t xml:space="preserve">taking into account </w:t>
      </w:r>
      <w:r w:rsidR="00DC1741">
        <w:rPr>
          <w:rFonts w:cs="Arial"/>
          <w:szCs w:val="24"/>
        </w:rPr>
        <w:t>the weight properly attributable</w:t>
      </w:r>
      <w:r w:rsidR="0055089F">
        <w:rPr>
          <w:rFonts w:cs="Arial"/>
          <w:szCs w:val="24"/>
        </w:rPr>
        <w:t xml:space="preserve"> to such evidence </w:t>
      </w:r>
      <w:r w:rsidR="00385802">
        <w:rPr>
          <w:rFonts w:cs="Arial"/>
          <w:szCs w:val="24"/>
        </w:rPr>
        <w:t xml:space="preserve">and </w:t>
      </w:r>
      <w:r w:rsidR="0055089F">
        <w:rPr>
          <w:rFonts w:cs="Arial"/>
          <w:szCs w:val="24"/>
        </w:rPr>
        <w:t>th</w:t>
      </w:r>
      <w:r>
        <w:rPr>
          <w:rFonts w:cs="Arial"/>
          <w:szCs w:val="24"/>
        </w:rPr>
        <w:t>e burden and standard of proof</w:t>
      </w:r>
      <w:r w:rsidR="009B118D">
        <w:rPr>
          <w:rFonts w:cs="Arial"/>
          <w:szCs w:val="24"/>
        </w:rPr>
        <w:t xml:space="preserve"> which </w:t>
      </w:r>
      <w:r>
        <w:rPr>
          <w:rFonts w:cs="Arial"/>
          <w:szCs w:val="24"/>
        </w:rPr>
        <w:t>is,</w:t>
      </w:r>
      <w:r w:rsidR="0055089F">
        <w:rPr>
          <w:rFonts w:cs="Arial"/>
          <w:szCs w:val="24"/>
        </w:rPr>
        <w:t xml:space="preserve"> all eleme</w:t>
      </w:r>
      <w:r w:rsidR="009B118D">
        <w:rPr>
          <w:rFonts w:cs="Arial"/>
          <w:szCs w:val="24"/>
        </w:rPr>
        <w:t>nts required to establish that L</w:t>
      </w:r>
      <w:r w:rsidR="0055089F">
        <w:rPr>
          <w:rFonts w:cs="Arial"/>
          <w:szCs w:val="24"/>
        </w:rPr>
        <w:t xml:space="preserve">and has become a town or village green must be properly and strictly proved by an applicant on a balance of probabilities. </w:t>
      </w:r>
    </w:p>
    <w:p w:rsidR="0055089F" w:rsidRDefault="0055089F" w:rsidP="00B776D3">
      <w:pPr>
        <w:rPr>
          <w:rFonts w:cs="Arial"/>
          <w:szCs w:val="24"/>
        </w:rPr>
      </w:pPr>
    </w:p>
    <w:p w:rsidR="0055089F" w:rsidRDefault="00B15475" w:rsidP="00B776D3">
      <w:pPr>
        <w:rPr>
          <w:rFonts w:cs="Arial"/>
          <w:szCs w:val="24"/>
        </w:rPr>
      </w:pPr>
      <w:r w:rsidRPr="00B15475">
        <w:rPr>
          <w:rFonts w:cs="Arial"/>
          <w:szCs w:val="24"/>
        </w:rPr>
        <w:t>The elements of the section 15(2) and section</w:t>
      </w:r>
      <w:r w:rsidR="008D7BB5">
        <w:rPr>
          <w:rFonts w:cs="Arial"/>
          <w:szCs w:val="24"/>
        </w:rPr>
        <w:t xml:space="preserve"> 15</w:t>
      </w:r>
      <w:r w:rsidRPr="00B15475">
        <w:rPr>
          <w:rFonts w:cs="Arial"/>
          <w:szCs w:val="24"/>
        </w:rPr>
        <w:t>(3) statutory criteria will be consider</w:t>
      </w:r>
      <w:r w:rsidR="008D7BB5">
        <w:rPr>
          <w:rFonts w:cs="Arial"/>
          <w:szCs w:val="24"/>
        </w:rPr>
        <w:t>ed</w:t>
      </w:r>
      <w:r w:rsidRPr="00B15475">
        <w:rPr>
          <w:rFonts w:cs="Arial"/>
          <w:szCs w:val="24"/>
        </w:rPr>
        <w:t xml:space="preserve"> in turn and whether they have been established on the basis of all the evidence, applying the facts to the </w:t>
      </w:r>
      <w:r w:rsidR="008D7BB5">
        <w:rPr>
          <w:rFonts w:cs="Arial"/>
          <w:szCs w:val="24"/>
        </w:rPr>
        <w:t xml:space="preserve">relevant </w:t>
      </w:r>
      <w:r w:rsidRPr="00B15475">
        <w:rPr>
          <w:rFonts w:cs="Arial"/>
          <w:szCs w:val="24"/>
        </w:rPr>
        <w:t xml:space="preserve">legal framework </w:t>
      </w:r>
      <w:r w:rsidR="008D7BB5">
        <w:rPr>
          <w:rFonts w:cs="Arial"/>
          <w:szCs w:val="24"/>
        </w:rPr>
        <w:t xml:space="preserve">as set out </w:t>
      </w:r>
      <w:r w:rsidRPr="00231648">
        <w:rPr>
          <w:rFonts w:cs="Arial"/>
          <w:szCs w:val="24"/>
        </w:rPr>
        <w:t>A</w:t>
      </w:r>
      <w:r w:rsidR="00231648">
        <w:rPr>
          <w:rFonts w:cs="Arial"/>
          <w:szCs w:val="24"/>
        </w:rPr>
        <w:t>ppendix B</w:t>
      </w:r>
      <w:r w:rsidRPr="00B15475">
        <w:rPr>
          <w:rFonts w:cs="Arial"/>
          <w:szCs w:val="24"/>
        </w:rPr>
        <w:t xml:space="preserve">. </w:t>
      </w:r>
      <w:r>
        <w:rPr>
          <w:rFonts w:cs="Arial"/>
          <w:szCs w:val="24"/>
        </w:rPr>
        <w:t xml:space="preserve"> In order for the Land to be registered as a town or village green, each of the statutory elements must be established by the Applicant on the evidence adduced on the balance of probabilities. </w:t>
      </w:r>
    </w:p>
    <w:p w:rsidR="00FA2FA4" w:rsidRPr="00B15475" w:rsidRDefault="00FA2FA4" w:rsidP="00B776D3">
      <w:pPr>
        <w:rPr>
          <w:rFonts w:cs="Arial"/>
          <w:szCs w:val="24"/>
        </w:rPr>
      </w:pPr>
    </w:p>
    <w:p w:rsidR="0055089F" w:rsidRDefault="00B15475" w:rsidP="00B776D3">
      <w:pPr>
        <w:rPr>
          <w:rFonts w:cs="Arial"/>
          <w:b/>
          <w:szCs w:val="24"/>
        </w:rPr>
      </w:pPr>
      <w:r>
        <w:rPr>
          <w:rFonts w:cs="Arial"/>
          <w:b/>
          <w:szCs w:val="24"/>
        </w:rPr>
        <w:t xml:space="preserve">Land </w:t>
      </w:r>
    </w:p>
    <w:p w:rsidR="00B15475" w:rsidRDefault="00B15475" w:rsidP="00B776D3">
      <w:pPr>
        <w:rPr>
          <w:rFonts w:cs="Arial"/>
          <w:b/>
          <w:szCs w:val="24"/>
        </w:rPr>
      </w:pPr>
    </w:p>
    <w:p w:rsidR="00E15312" w:rsidRDefault="00B15475" w:rsidP="00B776D3">
      <w:pPr>
        <w:rPr>
          <w:rFonts w:cs="Arial"/>
          <w:szCs w:val="24"/>
        </w:rPr>
      </w:pPr>
      <w:r w:rsidRPr="00B15475">
        <w:rPr>
          <w:rFonts w:cs="Arial"/>
          <w:szCs w:val="24"/>
        </w:rPr>
        <w:t xml:space="preserve">There is no difficulty in identifying the relevant </w:t>
      </w:r>
      <w:r w:rsidR="005823AA">
        <w:rPr>
          <w:rFonts w:cs="Arial"/>
          <w:szCs w:val="24"/>
        </w:rPr>
        <w:t xml:space="preserve">land sought to be registered. The Application Plan at AB/Doc2/page 224 is the definitive document </w:t>
      </w:r>
      <w:r w:rsidR="009B118D">
        <w:rPr>
          <w:rFonts w:cs="Arial"/>
          <w:szCs w:val="24"/>
        </w:rPr>
        <w:t xml:space="preserve">identifying </w:t>
      </w:r>
      <w:r w:rsidR="005823AA">
        <w:rPr>
          <w:rFonts w:cs="Arial"/>
          <w:szCs w:val="24"/>
        </w:rPr>
        <w:t>the Land that is the subject of the Application</w:t>
      </w:r>
      <w:r w:rsidR="00E15312">
        <w:rPr>
          <w:rFonts w:cs="Arial"/>
          <w:szCs w:val="24"/>
        </w:rPr>
        <w:t xml:space="preserve">. The </w:t>
      </w:r>
      <w:r w:rsidR="0073233A">
        <w:rPr>
          <w:rFonts w:cs="Arial"/>
          <w:szCs w:val="24"/>
        </w:rPr>
        <w:t>L</w:t>
      </w:r>
      <w:r w:rsidR="00E15312">
        <w:rPr>
          <w:rFonts w:cs="Arial"/>
          <w:szCs w:val="24"/>
        </w:rPr>
        <w:t xml:space="preserve">and is then further subdivided under section 15(2) edged yellow and referred to in this </w:t>
      </w:r>
      <w:r w:rsidR="005B179B">
        <w:rPr>
          <w:rFonts w:cs="Arial"/>
          <w:szCs w:val="24"/>
        </w:rPr>
        <w:t xml:space="preserve">report </w:t>
      </w:r>
      <w:r w:rsidR="00E15312">
        <w:rPr>
          <w:rFonts w:cs="Arial"/>
          <w:szCs w:val="24"/>
        </w:rPr>
        <w:t xml:space="preserve">as the </w:t>
      </w:r>
      <w:r w:rsidR="005B179B">
        <w:rPr>
          <w:rFonts w:cs="Arial"/>
          <w:szCs w:val="24"/>
        </w:rPr>
        <w:t>"</w:t>
      </w:r>
      <w:r w:rsidR="00E15312">
        <w:rPr>
          <w:rFonts w:cs="Arial"/>
          <w:szCs w:val="24"/>
        </w:rPr>
        <w:t>Bradley Lane Field</w:t>
      </w:r>
      <w:r w:rsidR="005B179B">
        <w:rPr>
          <w:rFonts w:cs="Arial"/>
          <w:szCs w:val="24"/>
        </w:rPr>
        <w:t>"</w:t>
      </w:r>
      <w:r w:rsidR="00E15312">
        <w:rPr>
          <w:rFonts w:cs="Arial"/>
          <w:szCs w:val="24"/>
        </w:rPr>
        <w:t xml:space="preserve"> and under section15(3) referred to as </w:t>
      </w:r>
      <w:r w:rsidR="005B179B">
        <w:rPr>
          <w:rFonts w:cs="Arial"/>
          <w:szCs w:val="24"/>
        </w:rPr>
        <w:t>the "</w:t>
      </w:r>
      <w:r w:rsidR="00E15312">
        <w:rPr>
          <w:rFonts w:cs="Arial"/>
          <w:szCs w:val="24"/>
        </w:rPr>
        <w:t>Bradley Lane Pond</w:t>
      </w:r>
      <w:r w:rsidR="005B179B">
        <w:rPr>
          <w:rFonts w:cs="Arial"/>
          <w:szCs w:val="24"/>
        </w:rPr>
        <w:t>"</w:t>
      </w:r>
      <w:r w:rsidR="00E15312">
        <w:rPr>
          <w:rFonts w:cs="Arial"/>
          <w:szCs w:val="24"/>
        </w:rPr>
        <w:t>. Bradley Lane Field and</w:t>
      </w:r>
      <w:r w:rsidR="009B118D">
        <w:rPr>
          <w:rFonts w:cs="Arial"/>
          <w:szCs w:val="24"/>
        </w:rPr>
        <w:t xml:space="preserve"> the Bradley Lane Pond comprise</w:t>
      </w:r>
      <w:r w:rsidR="00E15312">
        <w:rPr>
          <w:rFonts w:cs="Arial"/>
          <w:szCs w:val="24"/>
        </w:rPr>
        <w:t xml:space="preserve"> "land" within the meaning of section 15(2) and </w:t>
      </w:r>
      <w:proofErr w:type="gramStart"/>
      <w:r w:rsidR="00E15312">
        <w:rPr>
          <w:rFonts w:cs="Arial"/>
          <w:szCs w:val="24"/>
        </w:rPr>
        <w:t>s15(</w:t>
      </w:r>
      <w:proofErr w:type="gramEnd"/>
      <w:r w:rsidR="00E15312">
        <w:rPr>
          <w:rFonts w:cs="Arial"/>
          <w:szCs w:val="24"/>
        </w:rPr>
        <w:t xml:space="preserve">3). </w:t>
      </w:r>
    </w:p>
    <w:p w:rsidR="00601FA6" w:rsidRDefault="00601FA6" w:rsidP="00B776D3">
      <w:pPr>
        <w:rPr>
          <w:rFonts w:cs="Arial"/>
          <w:szCs w:val="24"/>
        </w:rPr>
      </w:pPr>
    </w:p>
    <w:p w:rsidR="00B15475" w:rsidRDefault="00B15475" w:rsidP="00B776D3">
      <w:pPr>
        <w:rPr>
          <w:rFonts w:cs="Arial"/>
          <w:b/>
          <w:szCs w:val="24"/>
        </w:rPr>
      </w:pPr>
      <w:r>
        <w:rPr>
          <w:rFonts w:cs="Arial"/>
          <w:b/>
          <w:szCs w:val="24"/>
        </w:rPr>
        <w:lastRenderedPageBreak/>
        <w:t xml:space="preserve">Use for Lawful Sports and Pastimes </w:t>
      </w:r>
    </w:p>
    <w:p w:rsidR="0073233A" w:rsidRDefault="0073233A" w:rsidP="00B776D3">
      <w:pPr>
        <w:rPr>
          <w:rFonts w:cs="Arial"/>
          <w:b/>
          <w:szCs w:val="24"/>
        </w:rPr>
      </w:pPr>
    </w:p>
    <w:p w:rsidR="00AC3862" w:rsidRDefault="00AC3862" w:rsidP="00AC3862">
      <w:pPr>
        <w:rPr>
          <w:rFonts w:cs="Arial"/>
          <w:szCs w:val="24"/>
        </w:rPr>
      </w:pPr>
      <w:r>
        <w:rPr>
          <w:rFonts w:cs="Arial"/>
          <w:szCs w:val="24"/>
        </w:rPr>
        <w:t>Lawful sports and pastimes is a composite expression and so it is sufficient for a use to be either a lawful sport or a lawful pastime. It includes present day sports and pastimes and the activities can be informal in nature. It includes recreational walking, with or without dogs</w:t>
      </w:r>
      <w:r w:rsidR="0037126D">
        <w:rPr>
          <w:rFonts w:cs="Arial"/>
          <w:szCs w:val="24"/>
        </w:rPr>
        <w:t>.</w:t>
      </w:r>
      <w:r>
        <w:rPr>
          <w:rFonts w:cs="Arial"/>
          <w:szCs w:val="24"/>
        </w:rPr>
        <w:t xml:space="preserve"> </w:t>
      </w:r>
      <w:r w:rsidR="0037126D">
        <w:rPr>
          <w:rFonts w:cs="Arial"/>
          <w:szCs w:val="24"/>
        </w:rPr>
        <w:t>H</w:t>
      </w:r>
      <w:r>
        <w:rPr>
          <w:rFonts w:cs="Arial"/>
          <w:szCs w:val="24"/>
        </w:rPr>
        <w:t xml:space="preserve">owever, that element does not include walking of such a character as would give rise to a presumption of dedication as a public right of way. </w:t>
      </w:r>
    </w:p>
    <w:p w:rsidR="00AC3862" w:rsidRDefault="00AC3862" w:rsidP="00B776D3">
      <w:pPr>
        <w:rPr>
          <w:rFonts w:cs="Arial"/>
          <w:szCs w:val="24"/>
        </w:rPr>
      </w:pPr>
    </w:p>
    <w:p w:rsidR="00AC3862" w:rsidRDefault="0073233A" w:rsidP="00AC3862">
      <w:pPr>
        <w:rPr>
          <w:rFonts w:cs="Arial"/>
          <w:szCs w:val="24"/>
        </w:rPr>
      </w:pPr>
      <w:r w:rsidRPr="0073233A">
        <w:rPr>
          <w:rFonts w:cs="Arial"/>
          <w:szCs w:val="24"/>
        </w:rPr>
        <w:t xml:space="preserve">The Applicant's evidence of the use of the Land </w:t>
      </w:r>
      <w:r>
        <w:rPr>
          <w:rFonts w:cs="Arial"/>
          <w:szCs w:val="24"/>
        </w:rPr>
        <w:t>is largely contained in the 35 evidence questionnaires submitted with the Application. The activities referred to in that evidence</w:t>
      </w:r>
      <w:r w:rsidR="00D83261">
        <w:rPr>
          <w:rFonts w:cs="Arial"/>
          <w:szCs w:val="24"/>
        </w:rPr>
        <w:t xml:space="preserve"> as</w:t>
      </w:r>
      <w:r>
        <w:rPr>
          <w:rFonts w:cs="Arial"/>
          <w:szCs w:val="24"/>
        </w:rPr>
        <w:t xml:space="preserve"> having taken place on the Land over various periods include walking, dog walking</w:t>
      </w:r>
      <w:r w:rsidR="00D83261">
        <w:rPr>
          <w:rFonts w:cs="Arial"/>
          <w:szCs w:val="24"/>
        </w:rPr>
        <w:t>,</w:t>
      </w:r>
      <w:r>
        <w:rPr>
          <w:rFonts w:cs="Arial"/>
          <w:szCs w:val="24"/>
        </w:rPr>
        <w:t xml:space="preserve"> </w:t>
      </w:r>
      <w:r w:rsidR="00D83261">
        <w:rPr>
          <w:rFonts w:cs="Arial"/>
          <w:szCs w:val="24"/>
        </w:rPr>
        <w:t>bicycle riding, football</w:t>
      </w:r>
      <w:r w:rsidR="00C0262E">
        <w:rPr>
          <w:rFonts w:cs="Arial"/>
          <w:szCs w:val="24"/>
        </w:rPr>
        <w:t xml:space="preserve"> (it is noted that football is the most recorded activity (see 'Use As of Right ' below))</w:t>
      </w:r>
      <w:r w:rsidR="00D83261">
        <w:rPr>
          <w:rFonts w:cs="Arial"/>
          <w:szCs w:val="24"/>
        </w:rPr>
        <w:t xml:space="preserve">, cricket, </w:t>
      </w:r>
      <w:proofErr w:type="spellStart"/>
      <w:r w:rsidR="00D83261">
        <w:rPr>
          <w:rFonts w:cs="Arial"/>
          <w:szCs w:val="24"/>
        </w:rPr>
        <w:t>rounders</w:t>
      </w:r>
      <w:proofErr w:type="spellEnd"/>
      <w:r w:rsidR="00D83261">
        <w:rPr>
          <w:rFonts w:cs="Arial"/>
          <w:szCs w:val="24"/>
        </w:rPr>
        <w:t xml:space="preserve">, golf practice, fishing in the pond, nature studies, bird watching, picnicking, picking berries, kite </w:t>
      </w:r>
      <w:r w:rsidR="00F9408E">
        <w:rPr>
          <w:rFonts w:cs="Arial"/>
          <w:szCs w:val="24"/>
        </w:rPr>
        <w:t>flying</w:t>
      </w:r>
      <w:r w:rsidR="00D83261">
        <w:rPr>
          <w:rFonts w:cs="Arial"/>
          <w:szCs w:val="24"/>
        </w:rPr>
        <w:t xml:space="preserve">, model aircraft flying, </w:t>
      </w:r>
      <w:proofErr w:type="spellStart"/>
      <w:r w:rsidR="00D83261">
        <w:rPr>
          <w:rFonts w:cs="Arial"/>
          <w:szCs w:val="24"/>
        </w:rPr>
        <w:t>frisbee</w:t>
      </w:r>
      <w:proofErr w:type="spellEnd"/>
      <w:r w:rsidR="00D83261">
        <w:rPr>
          <w:rFonts w:cs="Arial"/>
          <w:szCs w:val="24"/>
        </w:rPr>
        <w:t xml:space="preserve"> games, sledging, snowballing throwing and making snowmen. </w:t>
      </w:r>
      <w:r w:rsidR="00AC3862">
        <w:rPr>
          <w:rFonts w:cs="Arial"/>
          <w:szCs w:val="24"/>
        </w:rPr>
        <w:t xml:space="preserve">Hence, the various activities referred to in the Applicant's evidence would therefore amount to "lawful sports and pastimes". </w:t>
      </w:r>
    </w:p>
    <w:p w:rsidR="005D47CC" w:rsidRDefault="005D47CC" w:rsidP="00B776D3">
      <w:pPr>
        <w:rPr>
          <w:rFonts w:cs="Arial"/>
          <w:szCs w:val="24"/>
        </w:rPr>
      </w:pPr>
    </w:p>
    <w:p w:rsidR="00FE0FCE" w:rsidRDefault="00D83261" w:rsidP="00B776D3">
      <w:pPr>
        <w:rPr>
          <w:rFonts w:cs="Arial"/>
          <w:szCs w:val="24"/>
        </w:rPr>
      </w:pPr>
      <w:r>
        <w:rPr>
          <w:rFonts w:cs="Arial"/>
          <w:szCs w:val="24"/>
        </w:rPr>
        <w:t>As against such evidence,</w:t>
      </w:r>
      <w:r w:rsidR="00FE0FCE">
        <w:rPr>
          <w:rFonts w:cs="Arial"/>
          <w:szCs w:val="24"/>
        </w:rPr>
        <w:t xml:space="preserve"> </w:t>
      </w:r>
      <w:r w:rsidR="00EB674B">
        <w:rPr>
          <w:rFonts w:cs="Arial"/>
          <w:szCs w:val="24"/>
        </w:rPr>
        <w:t xml:space="preserve">the Objector has pointed out that some of the user evidence refers to the use of the Land as part of a </w:t>
      </w:r>
      <w:r w:rsidR="009B4217">
        <w:rPr>
          <w:rFonts w:cs="Arial"/>
          <w:szCs w:val="24"/>
        </w:rPr>
        <w:t>way from 'A' to 'B'</w:t>
      </w:r>
      <w:r w:rsidR="00EB674B">
        <w:rPr>
          <w:rFonts w:cs="Arial"/>
          <w:szCs w:val="24"/>
        </w:rPr>
        <w:t xml:space="preserve">. An assessment of the extent of </w:t>
      </w:r>
      <w:r w:rsidR="00BE3637">
        <w:rPr>
          <w:rFonts w:cs="Arial"/>
          <w:szCs w:val="24"/>
        </w:rPr>
        <w:t xml:space="preserve">use akin to exercising a right of way rather than a right to use the Land for lawful sports and pastimes within the meaning of Section 15(2) and Section 15(3) </w:t>
      </w:r>
      <w:r w:rsidR="00EB674B">
        <w:rPr>
          <w:rFonts w:cs="Arial"/>
          <w:szCs w:val="24"/>
        </w:rPr>
        <w:t xml:space="preserve">cannot be made </w:t>
      </w:r>
      <w:r w:rsidR="00BE3637">
        <w:rPr>
          <w:rFonts w:cs="Arial"/>
          <w:szCs w:val="24"/>
        </w:rPr>
        <w:t xml:space="preserve">from </w:t>
      </w:r>
      <w:r w:rsidR="00EB674B">
        <w:rPr>
          <w:rFonts w:cs="Arial"/>
          <w:szCs w:val="24"/>
        </w:rPr>
        <w:t>the Applicant's</w:t>
      </w:r>
      <w:r w:rsidR="005B179B">
        <w:rPr>
          <w:rFonts w:cs="Arial"/>
          <w:szCs w:val="24"/>
        </w:rPr>
        <w:t xml:space="preserve"> written </w:t>
      </w:r>
      <w:r w:rsidR="00EB674B">
        <w:rPr>
          <w:rFonts w:cs="Arial"/>
          <w:szCs w:val="24"/>
        </w:rPr>
        <w:t>evidence</w:t>
      </w:r>
      <w:r w:rsidR="00BE3637">
        <w:rPr>
          <w:rFonts w:cs="Arial"/>
          <w:szCs w:val="24"/>
        </w:rPr>
        <w:t>. It is clear that the use of l</w:t>
      </w:r>
      <w:r w:rsidR="00D679DE">
        <w:rPr>
          <w:rFonts w:cs="Arial"/>
          <w:szCs w:val="24"/>
        </w:rPr>
        <w:t>and to walk along any particular line for the purpose of passing and re-passing</w:t>
      </w:r>
      <w:r w:rsidR="00196F9C">
        <w:rPr>
          <w:rFonts w:cs="Arial"/>
          <w:szCs w:val="24"/>
        </w:rPr>
        <w:t xml:space="preserve"> (as a short-cut or to access another piece of land)</w:t>
      </w:r>
      <w:r w:rsidR="00D679DE">
        <w:rPr>
          <w:rFonts w:cs="Arial"/>
          <w:szCs w:val="24"/>
        </w:rPr>
        <w:t>, is not a qualifying use and such use must be discounted from consideration.</w:t>
      </w:r>
    </w:p>
    <w:p w:rsidR="00F63729" w:rsidRDefault="00F63729" w:rsidP="00B776D3">
      <w:pPr>
        <w:rPr>
          <w:rFonts w:cs="Arial"/>
          <w:szCs w:val="24"/>
        </w:rPr>
      </w:pPr>
    </w:p>
    <w:p w:rsidR="00BE3637" w:rsidRDefault="00F63729" w:rsidP="00B776D3">
      <w:pPr>
        <w:rPr>
          <w:rFonts w:cs="Arial"/>
          <w:szCs w:val="24"/>
        </w:rPr>
      </w:pPr>
      <w:r>
        <w:rPr>
          <w:rFonts w:cs="Arial"/>
          <w:szCs w:val="24"/>
        </w:rPr>
        <w:t>I</w:t>
      </w:r>
      <w:r w:rsidR="00FE0FCE">
        <w:rPr>
          <w:rFonts w:cs="Arial"/>
          <w:szCs w:val="24"/>
        </w:rPr>
        <w:t xml:space="preserve">t </w:t>
      </w:r>
      <w:r w:rsidR="00361F56">
        <w:rPr>
          <w:rFonts w:cs="Arial"/>
          <w:szCs w:val="24"/>
        </w:rPr>
        <w:t xml:space="preserve">ought to be accepted, </w:t>
      </w:r>
      <w:r w:rsidR="00F9408E">
        <w:rPr>
          <w:rFonts w:cs="Arial"/>
          <w:szCs w:val="24"/>
        </w:rPr>
        <w:t xml:space="preserve">on </w:t>
      </w:r>
      <w:r w:rsidR="004D3F8C">
        <w:rPr>
          <w:rFonts w:cs="Arial"/>
          <w:szCs w:val="24"/>
        </w:rPr>
        <w:t xml:space="preserve">the </w:t>
      </w:r>
      <w:r w:rsidR="00FE0FCE">
        <w:rPr>
          <w:rFonts w:cs="Arial"/>
          <w:szCs w:val="24"/>
        </w:rPr>
        <w:t xml:space="preserve">tested evidence of Mr </w:t>
      </w:r>
      <w:proofErr w:type="spellStart"/>
      <w:r w:rsidR="00FE0FCE">
        <w:rPr>
          <w:rFonts w:cs="Arial"/>
          <w:szCs w:val="24"/>
        </w:rPr>
        <w:t>Hemmings</w:t>
      </w:r>
      <w:proofErr w:type="spellEnd"/>
      <w:r w:rsidR="00AC3862">
        <w:rPr>
          <w:rFonts w:cs="Arial"/>
          <w:szCs w:val="24"/>
        </w:rPr>
        <w:t>,</w:t>
      </w:r>
      <w:r w:rsidR="00FE0FCE">
        <w:rPr>
          <w:rFonts w:cs="Arial"/>
          <w:szCs w:val="24"/>
        </w:rPr>
        <w:t xml:space="preserve"> that some of the lawful sports and pastimes have not </w:t>
      </w:r>
      <w:r>
        <w:rPr>
          <w:rFonts w:cs="Arial"/>
          <w:szCs w:val="24"/>
        </w:rPr>
        <w:t>taken place on</w:t>
      </w:r>
      <w:r w:rsidR="00FE0FCE">
        <w:rPr>
          <w:rFonts w:cs="Arial"/>
          <w:szCs w:val="24"/>
        </w:rPr>
        <w:t xml:space="preserve"> the </w:t>
      </w:r>
      <w:r w:rsidR="00762CEE">
        <w:rPr>
          <w:rFonts w:cs="Arial"/>
          <w:szCs w:val="24"/>
        </w:rPr>
        <w:t xml:space="preserve">Land, references being made to "The </w:t>
      </w:r>
      <w:proofErr w:type="spellStart"/>
      <w:r w:rsidR="00762CEE">
        <w:rPr>
          <w:rFonts w:cs="Arial"/>
          <w:szCs w:val="24"/>
        </w:rPr>
        <w:t>Rec</w:t>
      </w:r>
      <w:proofErr w:type="spellEnd"/>
      <w:r w:rsidR="00762CEE">
        <w:rPr>
          <w:rFonts w:cs="Arial"/>
          <w:szCs w:val="24"/>
        </w:rPr>
        <w:t>" and "The Factory Field" (see below)</w:t>
      </w:r>
      <w:r w:rsidR="00FE0FCE">
        <w:rPr>
          <w:rFonts w:cs="Arial"/>
          <w:szCs w:val="24"/>
        </w:rPr>
        <w:t xml:space="preserve">. Mr </w:t>
      </w:r>
      <w:proofErr w:type="spellStart"/>
      <w:r w:rsidR="00FE0FCE">
        <w:rPr>
          <w:rFonts w:cs="Arial"/>
          <w:szCs w:val="24"/>
        </w:rPr>
        <w:t>Hemmings</w:t>
      </w:r>
      <w:proofErr w:type="spellEnd"/>
      <w:r w:rsidR="00FE0FCE">
        <w:rPr>
          <w:rFonts w:cs="Arial"/>
          <w:szCs w:val="24"/>
        </w:rPr>
        <w:t xml:space="preserve"> also</w:t>
      </w:r>
      <w:r w:rsidR="004D3F8C">
        <w:rPr>
          <w:rFonts w:cs="Arial"/>
          <w:szCs w:val="24"/>
        </w:rPr>
        <w:t xml:space="preserve"> provided tested evidence </w:t>
      </w:r>
      <w:r w:rsidR="00FE0FCE">
        <w:rPr>
          <w:rFonts w:cs="Arial"/>
          <w:szCs w:val="24"/>
        </w:rPr>
        <w:t>that s</w:t>
      </w:r>
      <w:r w:rsidR="004D3F8C">
        <w:rPr>
          <w:rFonts w:cs="Arial"/>
          <w:szCs w:val="24"/>
        </w:rPr>
        <w:t>ome of the photographic evidence</w:t>
      </w:r>
      <w:r w:rsidR="00FE0FCE">
        <w:rPr>
          <w:rFonts w:cs="Arial"/>
          <w:szCs w:val="24"/>
        </w:rPr>
        <w:t xml:space="preserve"> provided by the Applicant and specifically AB/Doc</w:t>
      </w:r>
      <w:r w:rsidR="009D3B00">
        <w:rPr>
          <w:rFonts w:cs="Arial"/>
          <w:szCs w:val="24"/>
        </w:rPr>
        <w:t>1</w:t>
      </w:r>
      <w:r w:rsidR="00FE0FCE">
        <w:rPr>
          <w:rFonts w:cs="Arial"/>
          <w:szCs w:val="24"/>
        </w:rPr>
        <w:t>/photographs 13, 17, 20, 22 and 23</w:t>
      </w:r>
      <w:r w:rsidR="004D3F8C">
        <w:rPr>
          <w:rFonts w:cs="Arial"/>
          <w:szCs w:val="24"/>
        </w:rPr>
        <w:t xml:space="preserve"> relates to lan</w:t>
      </w:r>
      <w:r w:rsidR="00A2552D">
        <w:rPr>
          <w:rFonts w:cs="Arial"/>
          <w:szCs w:val="24"/>
        </w:rPr>
        <w:t xml:space="preserve">d which is not the </w:t>
      </w:r>
      <w:r w:rsidR="00FE0FCE">
        <w:rPr>
          <w:rFonts w:cs="Arial"/>
          <w:szCs w:val="24"/>
        </w:rPr>
        <w:t>L</w:t>
      </w:r>
      <w:r w:rsidR="004D3F8C">
        <w:rPr>
          <w:rFonts w:cs="Arial"/>
          <w:szCs w:val="24"/>
        </w:rPr>
        <w:t>and</w:t>
      </w:r>
      <w:r w:rsidR="00FE0FCE">
        <w:rPr>
          <w:rFonts w:cs="Arial"/>
          <w:szCs w:val="24"/>
        </w:rPr>
        <w:t xml:space="preserve">. </w:t>
      </w:r>
      <w:r w:rsidR="00320F08">
        <w:rPr>
          <w:rFonts w:cs="Arial"/>
          <w:szCs w:val="24"/>
        </w:rPr>
        <w:t xml:space="preserve">It is also noted (see below) that use of the Land for football matches, football training and those watching the same, did so with permission of the Landowner.  </w:t>
      </w:r>
    </w:p>
    <w:p w:rsidR="00BE3637" w:rsidRDefault="00BE3637" w:rsidP="00B776D3">
      <w:pPr>
        <w:rPr>
          <w:rFonts w:cs="Arial"/>
          <w:szCs w:val="24"/>
        </w:rPr>
      </w:pPr>
    </w:p>
    <w:p w:rsidR="00FE0FCE" w:rsidRDefault="00E24915" w:rsidP="00B776D3">
      <w:pPr>
        <w:rPr>
          <w:rFonts w:cs="Arial"/>
          <w:szCs w:val="24"/>
        </w:rPr>
      </w:pPr>
      <w:r>
        <w:rPr>
          <w:rFonts w:cs="Arial"/>
          <w:szCs w:val="24"/>
        </w:rPr>
        <w:t xml:space="preserve">Mr </w:t>
      </w:r>
      <w:proofErr w:type="spellStart"/>
      <w:r>
        <w:rPr>
          <w:rFonts w:cs="Arial"/>
          <w:szCs w:val="24"/>
        </w:rPr>
        <w:t>Hemmings</w:t>
      </w:r>
      <w:proofErr w:type="spellEnd"/>
      <w:r>
        <w:rPr>
          <w:rFonts w:cs="Arial"/>
          <w:szCs w:val="24"/>
        </w:rPr>
        <w:t xml:space="preserve"> did confirm to the Sub Committee that the photograph marked "Feeding Ducks Spring 2003" at OB/Doc8/page 121 was a photograph taken from the Applicant</w:t>
      </w:r>
      <w:r w:rsidR="00196F9C">
        <w:rPr>
          <w:rFonts w:cs="Arial"/>
          <w:szCs w:val="24"/>
        </w:rPr>
        <w:t>'</w:t>
      </w:r>
      <w:r>
        <w:rPr>
          <w:rFonts w:cs="Arial"/>
          <w:szCs w:val="24"/>
        </w:rPr>
        <w:t xml:space="preserve">s </w:t>
      </w:r>
      <w:r w:rsidR="00196F9C">
        <w:rPr>
          <w:rFonts w:cs="Arial"/>
          <w:szCs w:val="24"/>
        </w:rPr>
        <w:t xml:space="preserve">Bundle </w:t>
      </w:r>
      <w:r>
        <w:rPr>
          <w:rFonts w:cs="Arial"/>
          <w:szCs w:val="24"/>
        </w:rPr>
        <w:t xml:space="preserve">and the pond pictured </w:t>
      </w:r>
      <w:r w:rsidR="00196F9C">
        <w:rPr>
          <w:rFonts w:cs="Arial"/>
          <w:szCs w:val="24"/>
        </w:rPr>
        <w:t xml:space="preserve">(albeit cropped version) could not be indentified to be the </w:t>
      </w:r>
      <w:r>
        <w:rPr>
          <w:rFonts w:cs="Arial"/>
          <w:szCs w:val="24"/>
        </w:rPr>
        <w:t xml:space="preserve">Bradley Lane Pond. </w:t>
      </w:r>
      <w:r w:rsidR="00F9408E">
        <w:rPr>
          <w:rFonts w:cs="Arial"/>
          <w:szCs w:val="24"/>
        </w:rPr>
        <w:t>However, r</w:t>
      </w:r>
      <w:r w:rsidR="00BE3637">
        <w:rPr>
          <w:rFonts w:cs="Arial"/>
          <w:szCs w:val="24"/>
        </w:rPr>
        <w:t xml:space="preserve">eferring to </w:t>
      </w:r>
      <w:r>
        <w:rPr>
          <w:rFonts w:cs="Arial"/>
          <w:szCs w:val="24"/>
        </w:rPr>
        <w:t>AB/Doc1</w:t>
      </w:r>
      <w:r w:rsidR="00BE3637">
        <w:rPr>
          <w:rFonts w:cs="Arial"/>
          <w:szCs w:val="24"/>
        </w:rPr>
        <w:t xml:space="preserve"> being the </w:t>
      </w:r>
      <w:r>
        <w:rPr>
          <w:rFonts w:cs="Arial"/>
          <w:szCs w:val="24"/>
        </w:rPr>
        <w:t xml:space="preserve">same photograph </w:t>
      </w:r>
      <w:r w:rsidR="00F9408E">
        <w:rPr>
          <w:rFonts w:cs="Arial"/>
          <w:szCs w:val="24"/>
        </w:rPr>
        <w:t>in its full</w:t>
      </w:r>
      <w:r w:rsidR="00361F56">
        <w:rPr>
          <w:rFonts w:cs="Arial"/>
          <w:szCs w:val="24"/>
        </w:rPr>
        <w:t>,</w:t>
      </w:r>
      <w:r w:rsidR="00F9408E">
        <w:rPr>
          <w:rFonts w:cs="Arial"/>
          <w:szCs w:val="24"/>
        </w:rPr>
        <w:t xml:space="preserve"> </w:t>
      </w:r>
      <w:proofErr w:type="spellStart"/>
      <w:r w:rsidR="00F9408E">
        <w:rPr>
          <w:rFonts w:cs="Arial"/>
          <w:szCs w:val="24"/>
        </w:rPr>
        <w:t>uncropped</w:t>
      </w:r>
      <w:proofErr w:type="spellEnd"/>
      <w:r w:rsidR="00F9408E">
        <w:rPr>
          <w:rFonts w:cs="Arial"/>
          <w:szCs w:val="24"/>
        </w:rPr>
        <w:t xml:space="preserve"> </w:t>
      </w:r>
      <w:proofErr w:type="gramStart"/>
      <w:r w:rsidR="00F9408E">
        <w:rPr>
          <w:rFonts w:cs="Arial"/>
          <w:szCs w:val="24"/>
        </w:rPr>
        <w:t>version,</w:t>
      </w:r>
      <w:proofErr w:type="gramEnd"/>
      <w:r>
        <w:rPr>
          <w:rFonts w:cs="Arial"/>
          <w:szCs w:val="24"/>
        </w:rPr>
        <w:t xml:space="preserve"> shows that the pond pictured is the Bradley Lane Pond with </w:t>
      </w:r>
      <w:r w:rsidR="00196F9C">
        <w:rPr>
          <w:rFonts w:cs="Arial"/>
          <w:szCs w:val="24"/>
        </w:rPr>
        <w:t xml:space="preserve">houses </w:t>
      </w:r>
      <w:r>
        <w:rPr>
          <w:rFonts w:cs="Arial"/>
          <w:szCs w:val="24"/>
        </w:rPr>
        <w:t>number</w:t>
      </w:r>
      <w:r w:rsidR="00196F9C">
        <w:rPr>
          <w:rFonts w:cs="Arial"/>
          <w:szCs w:val="24"/>
        </w:rPr>
        <w:t>ed</w:t>
      </w:r>
      <w:r>
        <w:rPr>
          <w:rFonts w:cs="Arial"/>
          <w:szCs w:val="24"/>
        </w:rPr>
        <w:t xml:space="preserve"> 49, 51 and 53 Brad</w:t>
      </w:r>
      <w:r w:rsidR="00361F56">
        <w:rPr>
          <w:rFonts w:cs="Arial"/>
          <w:szCs w:val="24"/>
        </w:rPr>
        <w:t xml:space="preserve">ley Lane shown in the distance. </w:t>
      </w:r>
    </w:p>
    <w:p w:rsidR="005B5754" w:rsidRDefault="005B5754" w:rsidP="00B776D3">
      <w:pPr>
        <w:rPr>
          <w:rFonts w:cs="Arial"/>
          <w:szCs w:val="24"/>
        </w:rPr>
      </w:pPr>
    </w:p>
    <w:p w:rsidR="009A06FE" w:rsidRDefault="005B5754" w:rsidP="00B776D3">
      <w:pPr>
        <w:rPr>
          <w:rFonts w:cs="Arial"/>
          <w:szCs w:val="24"/>
        </w:rPr>
      </w:pPr>
      <w:r>
        <w:rPr>
          <w:rFonts w:cs="Arial"/>
          <w:szCs w:val="24"/>
        </w:rPr>
        <w:t xml:space="preserve">Mr </w:t>
      </w:r>
      <w:proofErr w:type="spellStart"/>
      <w:r>
        <w:rPr>
          <w:rFonts w:cs="Arial"/>
          <w:szCs w:val="24"/>
        </w:rPr>
        <w:t>Hemmings</w:t>
      </w:r>
      <w:proofErr w:type="spellEnd"/>
      <w:r w:rsidR="007E18E4">
        <w:rPr>
          <w:rFonts w:cs="Arial"/>
          <w:szCs w:val="24"/>
        </w:rPr>
        <w:t>'</w:t>
      </w:r>
      <w:r>
        <w:rPr>
          <w:rFonts w:cs="Arial"/>
          <w:szCs w:val="24"/>
        </w:rPr>
        <w:t xml:space="preserve"> tested evidence that he has not seen anyone using the Land for </w:t>
      </w:r>
      <w:r w:rsidR="007E18E4">
        <w:rPr>
          <w:rFonts w:cs="Arial"/>
          <w:szCs w:val="24"/>
        </w:rPr>
        <w:t xml:space="preserve">any </w:t>
      </w:r>
      <w:r>
        <w:rPr>
          <w:rFonts w:cs="Arial"/>
          <w:szCs w:val="24"/>
        </w:rPr>
        <w:t xml:space="preserve">recreation purposes ought to be accepted. However, that does not establish that such use has not taken place at all but, rather, </w:t>
      </w:r>
      <w:r w:rsidR="007E18E4">
        <w:rPr>
          <w:rFonts w:cs="Arial"/>
          <w:szCs w:val="24"/>
        </w:rPr>
        <w:t>that it</w:t>
      </w:r>
      <w:r>
        <w:rPr>
          <w:rFonts w:cs="Arial"/>
          <w:szCs w:val="24"/>
        </w:rPr>
        <w:t xml:space="preserve"> has not taken</w:t>
      </w:r>
      <w:r w:rsidR="007E18E4">
        <w:rPr>
          <w:rFonts w:cs="Arial"/>
          <w:szCs w:val="24"/>
        </w:rPr>
        <w:t xml:space="preserve"> </w:t>
      </w:r>
      <w:r>
        <w:rPr>
          <w:rFonts w:cs="Arial"/>
          <w:szCs w:val="24"/>
        </w:rPr>
        <w:t>place when</w:t>
      </w:r>
      <w:r w:rsidR="007E18E4">
        <w:rPr>
          <w:rFonts w:cs="Arial"/>
          <w:szCs w:val="24"/>
        </w:rPr>
        <w:t xml:space="preserve"> Mr </w:t>
      </w:r>
      <w:proofErr w:type="spellStart"/>
      <w:r w:rsidR="007E18E4">
        <w:rPr>
          <w:rFonts w:cs="Arial"/>
          <w:szCs w:val="24"/>
        </w:rPr>
        <w:t>Hemmings</w:t>
      </w:r>
      <w:proofErr w:type="spellEnd"/>
      <w:r w:rsidR="007E18E4">
        <w:rPr>
          <w:rFonts w:cs="Arial"/>
          <w:szCs w:val="24"/>
        </w:rPr>
        <w:t xml:space="preserve"> </w:t>
      </w:r>
      <w:r>
        <w:rPr>
          <w:rFonts w:cs="Arial"/>
          <w:szCs w:val="24"/>
        </w:rPr>
        <w:t>w</w:t>
      </w:r>
      <w:r w:rsidR="007E18E4">
        <w:rPr>
          <w:rFonts w:cs="Arial"/>
          <w:szCs w:val="24"/>
        </w:rPr>
        <w:t xml:space="preserve">as </w:t>
      </w:r>
      <w:r>
        <w:rPr>
          <w:rFonts w:cs="Arial"/>
          <w:szCs w:val="24"/>
        </w:rPr>
        <w:t xml:space="preserve">on the Land. </w:t>
      </w:r>
    </w:p>
    <w:p w:rsidR="009A06FE" w:rsidRDefault="009A06FE" w:rsidP="00B776D3">
      <w:pPr>
        <w:rPr>
          <w:rFonts w:cs="Arial"/>
          <w:szCs w:val="24"/>
        </w:rPr>
      </w:pPr>
    </w:p>
    <w:p w:rsidR="00300C5E" w:rsidRDefault="006B48EF" w:rsidP="00B776D3">
      <w:pPr>
        <w:rPr>
          <w:rFonts w:cs="Arial"/>
          <w:szCs w:val="24"/>
        </w:rPr>
      </w:pPr>
      <w:r>
        <w:rPr>
          <w:rFonts w:cs="Arial"/>
          <w:szCs w:val="24"/>
        </w:rPr>
        <w:lastRenderedPageBreak/>
        <w:t xml:space="preserve">Nonetheless, on all of the evidence available it can be accepted </w:t>
      </w:r>
      <w:r w:rsidR="009D3B00">
        <w:rPr>
          <w:rFonts w:cs="Arial"/>
          <w:szCs w:val="24"/>
        </w:rPr>
        <w:t xml:space="preserve">on balance </w:t>
      </w:r>
      <w:r>
        <w:rPr>
          <w:rFonts w:cs="Arial"/>
          <w:szCs w:val="24"/>
        </w:rPr>
        <w:t>that some use referred to by the Applicant</w:t>
      </w:r>
      <w:r w:rsidR="00A2552D">
        <w:rPr>
          <w:rFonts w:cs="Arial"/>
          <w:szCs w:val="24"/>
        </w:rPr>
        <w:t xml:space="preserve"> would have taken place on the </w:t>
      </w:r>
      <w:r w:rsidR="00300C5E">
        <w:rPr>
          <w:rFonts w:cs="Arial"/>
          <w:szCs w:val="24"/>
        </w:rPr>
        <w:t xml:space="preserve">Land. </w:t>
      </w:r>
    </w:p>
    <w:p w:rsidR="00B15475" w:rsidRDefault="00B15475" w:rsidP="00B776D3">
      <w:pPr>
        <w:rPr>
          <w:rFonts w:cs="Arial"/>
          <w:b/>
          <w:szCs w:val="24"/>
        </w:rPr>
      </w:pPr>
      <w:r>
        <w:rPr>
          <w:rFonts w:cs="Arial"/>
          <w:b/>
          <w:szCs w:val="24"/>
        </w:rPr>
        <w:t>Use by a significant Number of the Inhabitants of any Locality or of any Neighbourhood within a Locality</w:t>
      </w:r>
    </w:p>
    <w:p w:rsidR="006B48EF" w:rsidRDefault="006B48EF" w:rsidP="00B776D3">
      <w:pPr>
        <w:rPr>
          <w:rFonts w:cs="Arial"/>
          <w:b/>
          <w:szCs w:val="24"/>
        </w:rPr>
      </w:pPr>
    </w:p>
    <w:p w:rsidR="006B48EF" w:rsidRDefault="009C2A49" w:rsidP="00B776D3">
      <w:pPr>
        <w:rPr>
          <w:rFonts w:cs="Arial"/>
          <w:b/>
          <w:szCs w:val="24"/>
        </w:rPr>
      </w:pPr>
      <w:r w:rsidRPr="009C2A49">
        <w:rPr>
          <w:rFonts w:cs="Arial"/>
          <w:szCs w:val="24"/>
        </w:rPr>
        <w:t>In order to determine this issue, it is necessary to identify the appropriate locality or, alternatively, neighbourhood within a locality</w:t>
      </w:r>
      <w:r>
        <w:rPr>
          <w:rFonts w:cs="Arial"/>
          <w:b/>
          <w:szCs w:val="24"/>
        </w:rPr>
        <w:t xml:space="preserve">. </w:t>
      </w:r>
      <w:r w:rsidR="00CF1446">
        <w:rPr>
          <w:rFonts w:cs="Arial"/>
          <w:b/>
          <w:szCs w:val="24"/>
        </w:rPr>
        <w:t xml:space="preserve"> </w:t>
      </w:r>
    </w:p>
    <w:p w:rsidR="009C2A49" w:rsidRDefault="009C2A49" w:rsidP="00B776D3">
      <w:pPr>
        <w:rPr>
          <w:rFonts w:cs="Arial"/>
          <w:b/>
          <w:szCs w:val="24"/>
        </w:rPr>
      </w:pPr>
    </w:p>
    <w:p w:rsidR="00CF1446" w:rsidRDefault="009C2A49" w:rsidP="00B776D3">
      <w:pPr>
        <w:rPr>
          <w:rFonts w:cs="Arial"/>
          <w:szCs w:val="24"/>
        </w:rPr>
      </w:pPr>
      <w:r w:rsidRPr="009C2A49">
        <w:rPr>
          <w:rFonts w:cs="Arial"/>
          <w:szCs w:val="24"/>
        </w:rPr>
        <w:t xml:space="preserve">The locality </w:t>
      </w:r>
      <w:r w:rsidR="00A57AAF">
        <w:rPr>
          <w:rFonts w:cs="Arial"/>
          <w:szCs w:val="24"/>
        </w:rPr>
        <w:t xml:space="preserve">identified in section 6 of the Application is </w:t>
      </w:r>
      <w:r w:rsidR="00CF3D33">
        <w:rPr>
          <w:rFonts w:cs="Arial"/>
          <w:szCs w:val="24"/>
        </w:rPr>
        <w:t xml:space="preserve">the "Parish of </w:t>
      </w:r>
      <w:proofErr w:type="spellStart"/>
      <w:r w:rsidR="00CF3D33">
        <w:rPr>
          <w:rFonts w:cs="Arial"/>
          <w:szCs w:val="24"/>
        </w:rPr>
        <w:t>Eccleston</w:t>
      </w:r>
      <w:proofErr w:type="spellEnd"/>
      <w:r w:rsidR="00CF3D33">
        <w:rPr>
          <w:rFonts w:cs="Arial"/>
          <w:szCs w:val="24"/>
        </w:rPr>
        <w:t>"</w:t>
      </w:r>
      <w:r w:rsidR="009A06FE">
        <w:rPr>
          <w:rFonts w:cs="Arial"/>
          <w:szCs w:val="24"/>
        </w:rPr>
        <w:t>. The A</w:t>
      </w:r>
      <w:r w:rsidR="00CF1446">
        <w:rPr>
          <w:rFonts w:cs="Arial"/>
          <w:szCs w:val="24"/>
        </w:rPr>
        <w:t>pplication is entirely silent on the question of neighbourhood and it must follow that the application must rest on whether a locality can be proven. It is now settled law that if an application is advanced solely on the basis of a locality then there must be a single locality and that locality must be an area that can be identified as having significant boundaries. There is direct authority that a</w:t>
      </w:r>
      <w:r w:rsidR="001014A4">
        <w:rPr>
          <w:rFonts w:cs="Arial"/>
          <w:szCs w:val="24"/>
        </w:rPr>
        <w:t xml:space="preserve"> parish is an area with legally significant boundaries and it ought to be</w:t>
      </w:r>
      <w:r w:rsidR="009A06FE">
        <w:rPr>
          <w:rFonts w:cs="Arial"/>
          <w:szCs w:val="24"/>
        </w:rPr>
        <w:t xml:space="preserve"> accepted </w:t>
      </w:r>
      <w:r w:rsidR="005A604C">
        <w:rPr>
          <w:rFonts w:cs="Arial"/>
          <w:szCs w:val="24"/>
        </w:rPr>
        <w:t xml:space="preserve">that </w:t>
      </w:r>
      <w:r w:rsidR="001014A4">
        <w:rPr>
          <w:rFonts w:cs="Arial"/>
          <w:szCs w:val="24"/>
        </w:rPr>
        <w:t>the locality</w:t>
      </w:r>
      <w:r w:rsidR="009A06FE">
        <w:rPr>
          <w:rFonts w:cs="Arial"/>
          <w:szCs w:val="24"/>
        </w:rPr>
        <w:t xml:space="preserve"> "</w:t>
      </w:r>
      <w:r w:rsidR="001014A4">
        <w:rPr>
          <w:rFonts w:cs="Arial"/>
          <w:szCs w:val="24"/>
        </w:rPr>
        <w:t xml:space="preserve">Parish of </w:t>
      </w:r>
      <w:proofErr w:type="spellStart"/>
      <w:r w:rsidR="001014A4">
        <w:rPr>
          <w:rFonts w:cs="Arial"/>
          <w:szCs w:val="24"/>
        </w:rPr>
        <w:t>Eccleston</w:t>
      </w:r>
      <w:proofErr w:type="spellEnd"/>
      <w:r w:rsidR="009A06FE">
        <w:rPr>
          <w:rFonts w:cs="Arial"/>
          <w:szCs w:val="24"/>
        </w:rPr>
        <w:t>"</w:t>
      </w:r>
      <w:r w:rsidR="001014A4">
        <w:rPr>
          <w:rFonts w:cs="Arial"/>
          <w:szCs w:val="24"/>
        </w:rPr>
        <w:t xml:space="preserve"> has been identified. </w:t>
      </w:r>
    </w:p>
    <w:p w:rsidR="001014A4" w:rsidRDefault="001014A4" w:rsidP="00B776D3">
      <w:pPr>
        <w:rPr>
          <w:rFonts w:cs="Arial"/>
          <w:szCs w:val="24"/>
        </w:rPr>
      </w:pPr>
    </w:p>
    <w:p w:rsidR="00361F56" w:rsidRDefault="001014A4" w:rsidP="00B776D3">
      <w:pPr>
        <w:rPr>
          <w:rFonts w:cs="Arial"/>
          <w:szCs w:val="24"/>
        </w:rPr>
      </w:pPr>
      <w:r>
        <w:rPr>
          <w:rFonts w:cs="Arial"/>
          <w:szCs w:val="24"/>
        </w:rPr>
        <w:t xml:space="preserve">Accepting that the Applicant has proven a locality, then it is necessary for him to prove that the </w:t>
      </w:r>
      <w:r w:rsidR="00361F56">
        <w:rPr>
          <w:rFonts w:cs="Arial"/>
          <w:szCs w:val="24"/>
        </w:rPr>
        <w:t>L</w:t>
      </w:r>
      <w:r>
        <w:rPr>
          <w:rFonts w:cs="Arial"/>
          <w:szCs w:val="24"/>
        </w:rPr>
        <w:t xml:space="preserve">and had been used throughout the twenty year period by a "significant number" of </w:t>
      </w:r>
      <w:r w:rsidR="00373857">
        <w:rPr>
          <w:rFonts w:cs="Arial"/>
          <w:szCs w:val="24"/>
        </w:rPr>
        <w:t>those inhabitants</w:t>
      </w:r>
      <w:r w:rsidR="005A604C">
        <w:rPr>
          <w:rFonts w:cs="Arial"/>
          <w:szCs w:val="24"/>
        </w:rPr>
        <w:t xml:space="preserve"> of the Parish of </w:t>
      </w:r>
      <w:proofErr w:type="spellStart"/>
      <w:r w:rsidR="005A604C">
        <w:rPr>
          <w:rFonts w:cs="Arial"/>
          <w:szCs w:val="24"/>
        </w:rPr>
        <w:t>Eccleston</w:t>
      </w:r>
      <w:proofErr w:type="spellEnd"/>
      <w:r w:rsidR="005A604C">
        <w:rPr>
          <w:rFonts w:cs="Arial"/>
          <w:szCs w:val="24"/>
        </w:rPr>
        <w:t xml:space="preserve">. </w:t>
      </w:r>
      <w:r w:rsidR="00A51A55">
        <w:rPr>
          <w:rFonts w:cs="Arial"/>
          <w:szCs w:val="24"/>
        </w:rPr>
        <w:t>In determining that issue, it is inappropriate to seek to quantify a "significant number" in percentage terms</w:t>
      </w:r>
      <w:r w:rsidR="009A06FE">
        <w:rPr>
          <w:rFonts w:cs="Arial"/>
          <w:szCs w:val="24"/>
        </w:rPr>
        <w:t xml:space="preserve"> and that</w:t>
      </w:r>
      <w:r w:rsidR="00A51A55">
        <w:rPr>
          <w:rFonts w:cs="Arial"/>
          <w:szCs w:val="24"/>
        </w:rPr>
        <w:t xml:space="preserve"> "</w:t>
      </w:r>
      <w:r w:rsidR="009A06FE">
        <w:rPr>
          <w:rFonts w:cs="Arial"/>
          <w:szCs w:val="24"/>
        </w:rPr>
        <w:t>s</w:t>
      </w:r>
      <w:r w:rsidR="00A51A55">
        <w:rPr>
          <w:rFonts w:cs="Arial"/>
          <w:szCs w:val="24"/>
        </w:rPr>
        <w:t xml:space="preserve">ignificant number" need not be considerable or substantial or even a majority. Instead, the fundamental question is whether the number of people using the Land from that identified locality is sufficient to indicate to the landowner that it is in general use by the local community of that particular locality for recreational purposes rather than merely being used occasionally by individuals. Moreover, in order to establish the statutory requirements, the users of the Land must be shown to have originated from the whole of the identified locality and not merely from a limited part of it. A situation where users originate from only a small section of a locality would not be sufficient. There must be a proper distribution of users such that it can properly be said that the use has been by the inhabitants of that locality. </w:t>
      </w:r>
    </w:p>
    <w:p w:rsidR="00361F56" w:rsidRDefault="00361F56" w:rsidP="00B776D3">
      <w:pPr>
        <w:rPr>
          <w:rFonts w:cs="Arial"/>
          <w:szCs w:val="24"/>
        </w:rPr>
      </w:pPr>
    </w:p>
    <w:p w:rsidR="00A51A55" w:rsidRDefault="00A51A55" w:rsidP="00B776D3">
      <w:pPr>
        <w:rPr>
          <w:rFonts w:cs="Arial"/>
          <w:szCs w:val="24"/>
        </w:rPr>
      </w:pPr>
      <w:r>
        <w:rPr>
          <w:rFonts w:cs="Arial"/>
          <w:szCs w:val="24"/>
        </w:rPr>
        <w:t xml:space="preserve">Applying that legal position to the evidence, </w:t>
      </w:r>
      <w:r w:rsidR="00A83EE8">
        <w:rPr>
          <w:rFonts w:cs="Arial"/>
          <w:szCs w:val="24"/>
        </w:rPr>
        <w:t xml:space="preserve">the Plan provided by the Objector at OB/Doc12 </w:t>
      </w:r>
      <w:r w:rsidR="003651DF">
        <w:rPr>
          <w:rFonts w:cs="Arial"/>
          <w:szCs w:val="24"/>
        </w:rPr>
        <w:t>s</w:t>
      </w:r>
      <w:r w:rsidR="00A83EE8">
        <w:rPr>
          <w:rFonts w:cs="Arial"/>
          <w:szCs w:val="24"/>
        </w:rPr>
        <w:t>hows the distribution of users. There are a total of 35 pieces of user evidence (from a total of 39 people if forms completed in the name of "</w:t>
      </w:r>
      <w:proofErr w:type="gramStart"/>
      <w:r w:rsidR="00A83EE8">
        <w:rPr>
          <w:rFonts w:cs="Arial"/>
          <w:szCs w:val="24"/>
        </w:rPr>
        <w:t>Mr &amp;</w:t>
      </w:r>
      <w:proofErr w:type="gramEnd"/>
      <w:r w:rsidR="00A83EE8">
        <w:rPr>
          <w:rFonts w:cs="Arial"/>
          <w:szCs w:val="24"/>
        </w:rPr>
        <w:t xml:space="preserve"> Mrs" are counted as two items). It is apparent from that Plan, and indeed from the addresses of the users themselves, that the users are concentrated around Cotswold Close and a </w:t>
      </w:r>
      <w:r w:rsidR="009A06FE">
        <w:rPr>
          <w:rFonts w:cs="Arial"/>
          <w:szCs w:val="24"/>
        </w:rPr>
        <w:t xml:space="preserve">short </w:t>
      </w:r>
      <w:r w:rsidR="00A83EE8">
        <w:rPr>
          <w:rFonts w:cs="Arial"/>
          <w:szCs w:val="24"/>
        </w:rPr>
        <w:t xml:space="preserve">length of Bradley Lane and not distributed throughout the locality and therefore considered against the locality of </w:t>
      </w:r>
      <w:proofErr w:type="spellStart"/>
      <w:r w:rsidR="003651DF">
        <w:rPr>
          <w:rFonts w:cs="Arial"/>
          <w:szCs w:val="24"/>
        </w:rPr>
        <w:t>Eccleston</w:t>
      </w:r>
      <w:proofErr w:type="spellEnd"/>
      <w:r w:rsidR="003651DF">
        <w:rPr>
          <w:rFonts w:cs="Arial"/>
          <w:szCs w:val="24"/>
        </w:rPr>
        <w:t xml:space="preserve"> </w:t>
      </w:r>
      <w:r w:rsidR="00A83EE8">
        <w:rPr>
          <w:rFonts w:cs="Arial"/>
          <w:szCs w:val="24"/>
        </w:rPr>
        <w:t xml:space="preserve">it cannot </w:t>
      </w:r>
      <w:r w:rsidR="003651DF">
        <w:rPr>
          <w:rFonts w:cs="Arial"/>
          <w:szCs w:val="24"/>
        </w:rPr>
        <w:t xml:space="preserve">properly be concluded that there has been usage by a significant number of the inhabitants of the parish, as opposed to a significant number of the inhabitants of the Cotswold Close / </w:t>
      </w:r>
      <w:r w:rsidR="00EE7118">
        <w:rPr>
          <w:rFonts w:cs="Arial"/>
          <w:szCs w:val="24"/>
        </w:rPr>
        <w:t>Bradley</w:t>
      </w:r>
      <w:r w:rsidR="003651DF">
        <w:rPr>
          <w:rFonts w:cs="Arial"/>
          <w:szCs w:val="24"/>
        </w:rPr>
        <w:t xml:space="preserve"> Lane area which is not a claimed, still less proven, locality or neighbourhood. Furthermore, the Objector</w:t>
      </w:r>
      <w:r w:rsidR="00790B51">
        <w:rPr>
          <w:rFonts w:cs="Arial"/>
          <w:szCs w:val="24"/>
        </w:rPr>
        <w:t>'</w:t>
      </w:r>
      <w:r w:rsidR="003651DF">
        <w:rPr>
          <w:rFonts w:cs="Arial"/>
          <w:szCs w:val="24"/>
        </w:rPr>
        <w:t>s comment on the qualitative aspect of the use</w:t>
      </w:r>
      <w:r w:rsidR="007A4A9F">
        <w:rPr>
          <w:rFonts w:cs="Arial"/>
          <w:szCs w:val="24"/>
        </w:rPr>
        <w:t>r</w:t>
      </w:r>
      <w:r w:rsidR="003651DF">
        <w:rPr>
          <w:rFonts w:cs="Arial"/>
          <w:szCs w:val="24"/>
        </w:rPr>
        <w:t xml:space="preserve"> evidence (see above Evidence –</w:t>
      </w:r>
      <w:r w:rsidR="00790B51">
        <w:rPr>
          <w:rFonts w:cs="Arial"/>
          <w:szCs w:val="24"/>
        </w:rPr>
        <w:t xml:space="preserve"> C</w:t>
      </w:r>
      <w:r w:rsidR="003651DF">
        <w:rPr>
          <w:rFonts w:cs="Arial"/>
          <w:szCs w:val="24"/>
        </w:rPr>
        <w:t xml:space="preserve">ase for the </w:t>
      </w:r>
      <w:r w:rsidR="00790B51">
        <w:rPr>
          <w:rFonts w:cs="Arial"/>
          <w:szCs w:val="24"/>
        </w:rPr>
        <w:t>A</w:t>
      </w:r>
      <w:r w:rsidR="003651DF">
        <w:rPr>
          <w:rFonts w:cs="Arial"/>
          <w:szCs w:val="24"/>
        </w:rPr>
        <w:t>pplicant)</w:t>
      </w:r>
      <w:r w:rsidR="00790B51">
        <w:rPr>
          <w:rFonts w:cs="Arial"/>
          <w:szCs w:val="24"/>
        </w:rPr>
        <w:t xml:space="preserve"> must be noted</w:t>
      </w:r>
      <w:r w:rsidR="00361F56">
        <w:rPr>
          <w:rFonts w:cs="Arial"/>
          <w:szCs w:val="24"/>
        </w:rPr>
        <w:t>,</w:t>
      </w:r>
      <w:r w:rsidR="00790B51">
        <w:rPr>
          <w:rFonts w:cs="Arial"/>
          <w:szCs w:val="24"/>
        </w:rPr>
        <w:t xml:space="preserve"> since the written evidence of the users has not been tested and having </w:t>
      </w:r>
      <w:r w:rsidR="007A4A9F">
        <w:rPr>
          <w:rFonts w:cs="Arial"/>
          <w:szCs w:val="24"/>
        </w:rPr>
        <w:t xml:space="preserve">considered </w:t>
      </w:r>
      <w:r w:rsidR="00EE7118">
        <w:rPr>
          <w:rFonts w:cs="Arial"/>
          <w:szCs w:val="24"/>
        </w:rPr>
        <w:t xml:space="preserve">some elements of the </w:t>
      </w:r>
      <w:r w:rsidR="00790B51">
        <w:rPr>
          <w:rFonts w:cs="Arial"/>
          <w:szCs w:val="24"/>
        </w:rPr>
        <w:t>test above</w:t>
      </w:r>
      <w:r w:rsidR="007A4A9F">
        <w:rPr>
          <w:rFonts w:cs="Arial"/>
          <w:szCs w:val="24"/>
        </w:rPr>
        <w:t>,</w:t>
      </w:r>
      <w:r w:rsidR="00790B51">
        <w:rPr>
          <w:rFonts w:cs="Arial"/>
          <w:szCs w:val="24"/>
        </w:rPr>
        <w:t xml:space="preserve"> are not free from criticism, supporting further that user has not been by a significant number of the local inhabitants. </w:t>
      </w:r>
    </w:p>
    <w:p w:rsidR="00373857" w:rsidRDefault="00373857" w:rsidP="00B776D3">
      <w:pPr>
        <w:rPr>
          <w:rFonts w:cs="Arial"/>
          <w:szCs w:val="24"/>
        </w:rPr>
      </w:pPr>
    </w:p>
    <w:p w:rsidR="00F70ED1" w:rsidRDefault="00F70ED1" w:rsidP="00B776D3">
      <w:pPr>
        <w:rPr>
          <w:rFonts w:cs="Arial"/>
          <w:b/>
          <w:szCs w:val="24"/>
        </w:rPr>
      </w:pPr>
    </w:p>
    <w:p w:rsidR="00F70ED1" w:rsidRDefault="00F70ED1" w:rsidP="00B776D3">
      <w:pPr>
        <w:rPr>
          <w:rFonts w:cs="Arial"/>
          <w:b/>
          <w:szCs w:val="24"/>
        </w:rPr>
      </w:pPr>
    </w:p>
    <w:p w:rsidR="00B15475" w:rsidRDefault="00B15475" w:rsidP="00B776D3">
      <w:pPr>
        <w:rPr>
          <w:rFonts w:cs="Arial"/>
          <w:b/>
          <w:szCs w:val="24"/>
        </w:rPr>
      </w:pPr>
      <w:r>
        <w:rPr>
          <w:rFonts w:cs="Arial"/>
          <w:b/>
          <w:szCs w:val="24"/>
        </w:rPr>
        <w:lastRenderedPageBreak/>
        <w:t xml:space="preserve">Use for not less than 20 years </w:t>
      </w:r>
    </w:p>
    <w:p w:rsidR="00790B51" w:rsidRDefault="00790B51" w:rsidP="00B776D3">
      <w:pPr>
        <w:rPr>
          <w:rFonts w:cs="Arial"/>
          <w:b/>
          <w:szCs w:val="24"/>
        </w:rPr>
      </w:pPr>
    </w:p>
    <w:p w:rsidR="00CA42F4" w:rsidRDefault="00790B51" w:rsidP="00B776D3">
      <w:pPr>
        <w:rPr>
          <w:rFonts w:cs="Arial"/>
          <w:szCs w:val="24"/>
        </w:rPr>
      </w:pPr>
      <w:r w:rsidRPr="00790B51">
        <w:rPr>
          <w:rFonts w:cs="Arial"/>
          <w:szCs w:val="24"/>
        </w:rPr>
        <w:t>The qualifying use must be shown to have taken place for a period of not less than 20 years</w:t>
      </w:r>
      <w:r w:rsidR="004D1D52">
        <w:rPr>
          <w:rFonts w:cs="Arial"/>
          <w:szCs w:val="24"/>
        </w:rPr>
        <w:t>. S</w:t>
      </w:r>
      <w:r w:rsidRPr="00790B51">
        <w:rPr>
          <w:rFonts w:cs="Arial"/>
          <w:szCs w:val="24"/>
        </w:rPr>
        <w:t xml:space="preserve">uch use </w:t>
      </w:r>
      <w:r>
        <w:rPr>
          <w:rFonts w:cs="Arial"/>
          <w:szCs w:val="24"/>
        </w:rPr>
        <w:t>in respect of the Bradley Lane Field must have continued up to the date of the Application</w:t>
      </w:r>
      <w:r w:rsidR="007A4A9F">
        <w:rPr>
          <w:rFonts w:cs="Arial"/>
          <w:szCs w:val="24"/>
        </w:rPr>
        <w:t xml:space="preserve"> (</w:t>
      </w:r>
      <w:proofErr w:type="gramStart"/>
      <w:r w:rsidR="007A4A9F">
        <w:rPr>
          <w:rFonts w:cs="Arial"/>
          <w:szCs w:val="24"/>
        </w:rPr>
        <w:t>s15(</w:t>
      </w:r>
      <w:proofErr w:type="gramEnd"/>
      <w:r w:rsidR="007A4A9F">
        <w:rPr>
          <w:rFonts w:cs="Arial"/>
          <w:szCs w:val="24"/>
        </w:rPr>
        <w:t>2))</w:t>
      </w:r>
      <w:r>
        <w:rPr>
          <w:rFonts w:cs="Arial"/>
          <w:szCs w:val="24"/>
        </w:rPr>
        <w:t xml:space="preserve">, as the </w:t>
      </w:r>
      <w:r w:rsidR="00CA42F4">
        <w:rPr>
          <w:rFonts w:cs="Arial"/>
          <w:szCs w:val="24"/>
        </w:rPr>
        <w:t>A</w:t>
      </w:r>
      <w:r>
        <w:rPr>
          <w:rFonts w:cs="Arial"/>
          <w:szCs w:val="24"/>
        </w:rPr>
        <w:t xml:space="preserve">pplication is dated 8 September 2011, the relevant period </w:t>
      </w:r>
      <w:r w:rsidR="00943EE0">
        <w:rPr>
          <w:rFonts w:cs="Arial"/>
          <w:szCs w:val="24"/>
        </w:rPr>
        <w:t xml:space="preserve">is 8 </w:t>
      </w:r>
      <w:r w:rsidR="00963A37">
        <w:rPr>
          <w:rFonts w:cs="Arial"/>
          <w:szCs w:val="24"/>
        </w:rPr>
        <w:t>September 1991 to 8 September 2011</w:t>
      </w:r>
      <w:r w:rsidR="0075384F">
        <w:rPr>
          <w:rFonts w:cs="Arial"/>
          <w:szCs w:val="24"/>
        </w:rPr>
        <w:t xml:space="preserve">. </w:t>
      </w:r>
      <w:r w:rsidR="004D1D52">
        <w:rPr>
          <w:rFonts w:cs="Arial"/>
          <w:szCs w:val="24"/>
        </w:rPr>
        <w:t>Such use i</w:t>
      </w:r>
      <w:r w:rsidR="0075384F">
        <w:rPr>
          <w:rFonts w:cs="Arial"/>
          <w:szCs w:val="24"/>
        </w:rPr>
        <w:t xml:space="preserve">n respect of </w:t>
      </w:r>
      <w:r w:rsidR="00CA42F4">
        <w:rPr>
          <w:rFonts w:cs="Arial"/>
          <w:szCs w:val="24"/>
        </w:rPr>
        <w:t>Bradley Lane Pond, use must have ceased after 6 Aril 2007 and made within two years of the date on which use ceased</w:t>
      </w:r>
      <w:r w:rsidR="007A4A9F">
        <w:rPr>
          <w:rFonts w:cs="Arial"/>
          <w:szCs w:val="24"/>
        </w:rPr>
        <w:t xml:space="preserve"> (s15(3))</w:t>
      </w:r>
      <w:r w:rsidR="00CA42F4">
        <w:rPr>
          <w:rFonts w:cs="Arial"/>
          <w:szCs w:val="24"/>
        </w:rPr>
        <w:t xml:space="preserve">, the Bradley Lane Pond was fenced off 7 June 2010, the relevant period is 7 June 1990 to 7 June 2010. User evidence can also be relied upon in relation to an earlier or later period, but irrespective of any such earlier or later use, the qualifying use must still have been ongoing from at </w:t>
      </w:r>
      <w:r w:rsidR="00625448">
        <w:rPr>
          <w:rFonts w:cs="Arial"/>
          <w:szCs w:val="24"/>
        </w:rPr>
        <w:t>least 8 September 1991 onwards until</w:t>
      </w:r>
      <w:r w:rsidR="00CA42F4">
        <w:rPr>
          <w:rFonts w:cs="Arial"/>
          <w:szCs w:val="24"/>
        </w:rPr>
        <w:t xml:space="preserve"> 8 Se</w:t>
      </w:r>
      <w:r w:rsidR="00625448">
        <w:rPr>
          <w:rFonts w:cs="Arial"/>
          <w:szCs w:val="24"/>
        </w:rPr>
        <w:t>ptember 2011 in respect of the Bradley Lane Field and 7 June 199</w:t>
      </w:r>
      <w:r w:rsidR="007A4A9F">
        <w:rPr>
          <w:rFonts w:cs="Arial"/>
          <w:szCs w:val="24"/>
        </w:rPr>
        <w:t>0</w:t>
      </w:r>
      <w:r w:rsidR="00625448">
        <w:rPr>
          <w:rFonts w:cs="Arial"/>
          <w:szCs w:val="24"/>
        </w:rPr>
        <w:t xml:space="preserve"> </w:t>
      </w:r>
      <w:r w:rsidR="00CA42F4">
        <w:rPr>
          <w:rFonts w:cs="Arial"/>
          <w:szCs w:val="24"/>
        </w:rPr>
        <w:t>onwards</w:t>
      </w:r>
      <w:r w:rsidR="00625448">
        <w:rPr>
          <w:rFonts w:cs="Arial"/>
          <w:szCs w:val="24"/>
        </w:rPr>
        <w:t xml:space="preserve"> until </w:t>
      </w:r>
      <w:r w:rsidR="00CA42F4">
        <w:rPr>
          <w:rFonts w:cs="Arial"/>
          <w:szCs w:val="24"/>
        </w:rPr>
        <w:t>7 June 201</w:t>
      </w:r>
      <w:r w:rsidR="007A4A9F">
        <w:rPr>
          <w:rFonts w:cs="Arial"/>
          <w:szCs w:val="24"/>
        </w:rPr>
        <w:t>0</w:t>
      </w:r>
      <w:r w:rsidR="00625448">
        <w:rPr>
          <w:rFonts w:cs="Arial"/>
          <w:szCs w:val="24"/>
        </w:rPr>
        <w:t xml:space="preserve"> in respect of the Bradley Lane Pond</w:t>
      </w:r>
      <w:r w:rsidR="00CA42F4">
        <w:rPr>
          <w:rFonts w:cs="Arial"/>
          <w:szCs w:val="24"/>
        </w:rPr>
        <w:t xml:space="preserve">, and must have been continuous throughout those periods. </w:t>
      </w:r>
    </w:p>
    <w:p w:rsidR="00625448" w:rsidRDefault="00625448" w:rsidP="00B776D3">
      <w:pPr>
        <w:rPr>
          <w:rFonts w:cs="Arial"/>
          <w:szCs w:val="24"/>
        </w:rPr>
      </w:pPr>
    </w:p>
    <w:p w:rsidR="005F3CAF" w:rsidRDefault="00222350" w:rsidP="00B776D3">
      <w:pPr>
        <w:rPr>
          <w:rFonts w:cs="Arial"/>
          <w:szCs w:val="24"/>
        </w:rPr>
      </w:pPr>
      <w:r>
        <w:rPr>
          <w:rFonts w:cs="Arial"/>
          <w:szCs w:val="24"/>
        </w:rPr>
        <w:t>From the user evidence, some 19</w:t>
      </w:r>
      <w:r w:rsidR="00EE7118">
        <w:rPr>
          <w:rFonts w:cs="Arial"/>
          <w:szCs w:val="24"/>
        </w:rPr>
        <w:t xml:space="preserve"> people have used the Land for more than 20 y</w:t>
      </w:r>
      <w:r w:rsidR="00F1359A">
        <w:rPr>
          <w:rFonts w:cs="Arial"/>
          <w:szCs w:val="24"/>
        </w:rPr>
        <w:t xml:space="preserve">ears during the relevant periods. </w:t>
      </w:r>
      <w:r w:rsidR="008B7C9E">
        <w:rPr>
          <w:rFonts w:cs="Arial"/>
          <w:szCs w:val="24"/>
        </w:rPr>
        <w:t xml:space="preserve">The </w:t>
      </w:r>
      <w:r w:rsidR="00F1359A">
        <w:rPr>
          <w:rFonts w:cs="Arial"/>
          <w:szCs w:val="24"/>
        </w:rPr>
        <w:t xml:space="preserve">Objector </w:t>
      </w:r>
      <w:r w:rsidR="00DF19A7">
        <w:rPr>
          <w:rFonts w:cs="Arial"/>
          <w:szCs w:val="24"/>
        </w:rPr>
        <w:t xml:space="preserve">indicates that </w:t>
      </w:r>
      <w:r w:rsidR="00F1359A">
        <w:rPr>
          <w:rFonts w:cs="Arial"/>
          <w:szCs w:val="24"/>
        </w:rPr>
        <w:t xml:space="preserve">the </w:t>
      </w:r>
      <w:r w:rsidR="009B4217">
        <w:rPr>
          <w:rFonts w:cs="Arial"/>
          <w:szCs w:val="24"/>
        </w:rPr>
        <w:t xml:space="preserve">other </w:t>
      </w:r>
      <w:r w:rsidR="00F1359A">
        <w:rPr>
          <w:rFonts w:cs="Arial"/>
          <w:szCs w:val="24"/>
        </w:rPr>
        <w:t>evidence does</w:t>
      </w:r>
      <w:r w:rsidR="008B7C9E">
        <w:rPr>
          <w:rFonts w:cs="Arial"/>
          <w:szCs w:val="24"/>
        </w:rPr>
        <w:t xml:space="preserve"> not cover a twenty ye</w:t>
      </w:r>
      <w:r w:rsidR="005F3CAF">
        <w:rPr>
          <w:rFonts w:cs="Arial"/>
          <w:szCs w:val="24"/>
        </w:rPr>
        <w:t>ar period. It is not necessary for particular individuals to have used the Land for the full period of twenty years, but there should be evidence that local inhabitants taken together have used the land for the full period. The frequency of use by individual users varies.</w:t>
      </w:r>
    </w:p>
    <w:p w:rsidR="005F3CAF" w:rsidRDefault="005F3CAF" w:rsidP="00B776D3">
      <w:pPr>
        <w:rPr>
          <w:rFonts w:cs="Arial"/>
          <w:szCs w:val="24"/>
        </w:rPr>
      </w:pPr>
    </w:p>
    <w:p w:rsidR="007A6333" w:rsidRDefault="008B7C9E" w:rsidP="00B776D3">
      <w:pPr>
        <w:rPr>
          <w:rFonts w:cs="Arial"/>
          <w:szCs w:val="24"/>
        </w:rPr>
      </w:pPr>
      <w:r>
        <w:rPr>
          <w:rFonts w:cs="Arial"/>
          <w:szCs w:val="24"/>
        </w:rPr>
        <w:t>In evaluating the Applican</w:t>
      </w:r>
      <w:r w:rsidR="00040EC7">
        <w:rPr>
          <w:rFonts w:cs="Arial"/>
          <w:szCs w:val="24"/>
        </w:rPr>
        <w:t>t's written evidence, it is</w:t>
      </w:r>
      <w:r>
        <w:rPr>
          <w:rFonts w:cs="Arial"/>
          <w:szCs w:val="24"/>
        </w:rPr>
        <w:t xml:space="preserve"> significant </w:t>
      </w:r>
      <w:r w:rsidR="00DF19A7">
        <w:rPr>
          <w:rFonts w:cs="Arial"/>
          <w:szCs w:val="24"/>
        </w:rPr>
        <w:t xml:space="preserve">that some users clearly mistake the Land for other areas in their user evidence forms for example references are being made to "The </w:t>
      </w:r>
      <w:proofErr w:type="spellStart"/>
      <w:r w:rsidR="00DF19A7">
        <w:rPr>
          <w:rFonts w:cs="Arial"/>
          <w:szCs w:val="24"/>
        </w:rPr>
        <w:t>Rec</w:t>
      </w:r>
      <w:proofErr w:type="spellEnd"/>
      <w:r w:rsidR="00DF19A7">
        <w:rPr>
          <w:rFonts w:cs="Arial"/>
          <w:szCs w:val="24"/>
        </w:rPr>
        <w:t xml:space="preserve">" are references to the land north of the </w:t>
      </w:r>
      <w:r w:rsidR="00653230">
        <w:rPr>
          <w:rFonts w:cs="Arial"/>
          <w:szCs w:val="24"/>
        </w:rPr>
        <w:t xml:space="preserve">Land </w:t>
      </w:r>
      <w:r w:rsidR="00DF19A7">
        <w:rPr>
          <w:rFonts w:cs="Arial"/>
          <w:szCs w:val="24"/>
        </w:rPr>
        <w:t xml:space="preserve">and others refer to the Land as "The Factory Field" now occupied by what was </w:t>
      </w:r>
      <w:proofErr w:type="spellStart"/>
      <w:r w:rsidR="00DF19A7">
        <w:rPr>
          <w:rFonts w:cs="Arial"/>
          <w:szCs w:val="24"/>
        </w:rPr>
        <w:t>Middlewood</w:t>
      </w:r>
      <w:proofErr w:type="spellEnd"/>
      <w:r w:rsidR="00DF19A7">
        <w:rPr>
          <w:rFonts w:cs="Arial"/>
          <w:szCs w:val="24"/>
        </w:rPr>
        <w:t xml:space="preserve"> Close. It is significant that Mr </w:t>
      </w:r>
      <w:proofErr w:type="spellStart"/>
      <w:r w:rsidR="00DF19A7">
        <w:rPr>
          <w:rFonts w:cs="Arial"/>
          <w:szCs w:val="24"/>
        </w:rPr>
        <w:t>Hemmings</w:t>
      </w:r>
      <w:proofErr w:type="spellEnd"/>
      <w:r w:rsidR="00DF19A7">
        <w:rPr>
          <w:rFonts w:cs="Arial"/>
          <w:szCs w:val="24"/>
        </w:rPr>
        <w:t xml:space="preserve">' unchallenged evidence is that references to community activities referred to by some users such as fetes, car boot sales, fireworks celebrations and fireworks are references to the land where </w:t>
      </w:r>
      <w:proofErr w:type="spellStart"/>
      <w:r w:rsidR="00DF19A7">
        <w:rPr>
          <w:rFonts w:cs="Arial"/>
          <w:szCs w:val="24"/>
        </w:rPr>
        <w:t>Middelwood</w:t>
      </w:r>
      <w:proofErr w:type="spellEnd"/>
      <w:r w:rsidR="00DF19A7">
        <w:rPr>
          <w:rFonts w:cs="Arial"/>
          <w:szCs w:val="24"/>
        </w:rPr>
        <w:t xml:space="preserve"> Close is now located and that such activiti</w:t>
      </w:r>
      <w:r w:rsidR="00A2552D">
        <w:rPr>
          <w:rFonts w:cs="Arial"/>
          <w:szCs w:val="24"/>
        </w:rPr>
        <w:t xml:space="preserve">es have not taken place on the </w:t>
      </w:r>
      <w:r w:rsidR="00DF19A7">
        <w:rPr>
          <w:rFonts w:cs="Arial"/>
          <w:szCs w:val="24"/>
        </w:rPr>
        <w:t>Land.</w:t>
      </w:r>
      <w:r w:rsidR="005F3CAF">
        <w:rPr>
          <w:rFonts w:cs="Arial"/>
          <w:szCs w:val="24"/>
        </w:rPr>
        <w:t xml:space="preserve"> As already </w:t>
      </w:r>
      <w:r w:rsidR="009E459F">
        <w:rPr>
          <w:rFonts w:cs="Arial"/>
          <w:szCs w:val="24"/>
        </w:rPr>
        <w:t xml:space="preserve">considered </w:t>
      </w:r>
      <w:r w:rsidR="006A5390">
        <w:rPr>
          <w:rFonts w:cs="Arial"/>
          <w:szCs w:val="24"/>
        </w:rPr>
        <w:t xml:space="preserve">under </w:t>
      </w:r>
      <w:r w:rsidR="00040EC7">
        <w:rPr>
          <w:rFonts w:cs="Arial"/>
          <w:szCs w:val="24"/>
        </w:rPr>
        <w:t>"lawful sports and pastimes" above</w:t>
      </w:r>
      <w:r w:rsidR="005F3CAF">
        <w:rPr>
          <w:rFonts w:cs="Arial"/>
          <w:szCs w:val="24"/>
        </w:rPr>
        <w:t>,</w:t>
      </w:r>
      <w:r w:rsidR="00040EC7">
        <w:rPr>
          <w:rFonts w:cs="Arial"/>
          <w:szCs w:val="24"/>
        </w:rPr>
        <w:t xml:space="preserve"> </w:t>
      </w:r>
      <w:r w:rsidR="00ED5634">
        <w:rPr>
          <w:rFonts w:cs="Arial"/>
          <w:szCs w:val="24"/>
        </w:rPr>
        <w:t xml:space="preserve">some </w:t>
      </w:r>
      <w:r w:rsidR="00040EC7">
        <w:rPr>
          <w:rFonts w:cs="Arial"/>
          <w:szCs w:val="24"/>
        </w:rPr>
        <w:t xml:space="preserve">user evidence </w:t>
      </w:r>
      <w:r w:rsidR="00196F9C">
        <w:rPr>
          <w:rFonts w:cs="Arial"/>
          <w:szCs w:val="24"/>
        </w:rPr>
        <w:t>indicate</w:t>
      </w:r>
      <w:r w:rsidR="00F910FE">
        <w:rPr>
          <w:rFonts w:cs="Arial"/>
          <w:szCs w:val="24"/>
        </w:rPr>
        <w:t>s</w:t>
      </w:r>
      <w:r w:rsidR="00196F9C">
        <w:rPr>
          <w:rFonts w:cs="Arial"/>
          <w:szCs w:val="24"/>
        </w:rPr>
        <w:t xml:space="preserve"> </w:t>
      </w:r>
      <w:r w:rsidR="00217095">
        <w:rPr>
          <w:rFonts w:cs="Arial"/>
          <w:szCs w:val="24"/>
        </w:rPr>
        <w:t xml:space="preserve">use </w:t>
      </w:r>
      <w:r w:rsidR="00ED5634">
        <w:rPr>
          <w:rFonts w:cs="Arial"/>
          <w:szCs w:val="24"/>
        </w:rPr>
        <w:t xml:space="preserve">of the Land as a short cut </w:t>
      </w:r>
      <w:r w:rsidR="00217095">
        <w:t>and to access playing fields</w:t>
      </w:r>
      <w:r w:rsidR="00ED5634">
        <w:t xml:space="preserve"> and </w:t>
      </w:r>
      <w:r w:rsidR="00ED5634">
        <w:rPr>
          <w:rFonts w:cs="Arial"/>
          <w:szCs w:val="24"/>
        </w:rPr>
        <w:t xml:space="preserve">such use </w:t>
      </w:r>
      <w:r w:rsidR="00CE3040">
        <w:rPr>
          <w:rFonts w:cs="Arial"/>
          <w:szCs w:val="24"/>
        </w:rPr>
        <w:t xml:space="preserve">must be discounted. </w:t>
      </w:r>
      <w:r w:rsidR="00775DF2">
        <w:rPr>
          <w:rFonts w:cs="Arial"/>
          <w:szCs w:val="24"/>
        </w:rPr>
        <w:t xml:space="preserve">A significant proportion of user evidence in connection with the football club's use, </w:t>
      </w:r>
      <w:r w:rsidR="00222350">
        <w:rPr>
          <w:rFonts w:cs="Arial"/>
          <w:szCs w:val="24"/>
        </w:rPr>
        <w:t xml:space="preserve">has also been proved to be with permission </w:t>
      </w:r>
      <w:r w:rsidR="00775DF2">
        <w:rPr>
          <w:rFonts w:cs="Arial"/>
          <w:szCs w:val="24"/>
        </w:rPr>
        <w:t>(see below)</w:t>
      </w:r>
      <w:r w:rsidR="00217095">
        <w:rPr>
          <w:rFonts w:cs="Arial"/>
          <w:szCs w:val="24"/>
        </w:rPr>
        <w:t xml:space="preserve">, </w:t>
      </w:r>
      <w:r w:rsidR="005F3CAF">
        <w:rPr>
          <w:rFonts w:cs="Arial"/>
          <w:szCs w:val="24"/>
        </w:rPr>
        <w:t xml:space="preserve">all </w:t>
      </w:r>
      <w:r w:rsidR="00217095">
        <w:rPr>
          <w:rFonts w:cs="Arial"/>
          <w:szCs w:val="24"/>
        </w:rPr>
        <w:t xml:space="preserve">permissive use </w:t>
      </w:r>
      <w:r w:rsidR="00775DF2">
        <w:rPr>
          <w:rFonts w:cs="Arial"/>
          <w:szCs w:val="24"/>
        </w:rPr>
        <w:t xml:space="preserve">must be discounted. </w:t>
      </w:r>
    </w:p>
    <w:p w:rsidR="007A6333" w:rsidRDefault="007A6333" w:rsidP="00B776D3">
      <w:pPr>
        <w:rPr>
          <w:rFonts w:cs="Arial"/>
          <w:szCs w:val="24"/>
        </w:rPr>
      </w:pPr>
    </w:p>
    <w:p w:rsidR="00E85B80" w:rsidRDefault="00E85B80" w:rsidP="00B776D3">
      <w:pPr>
        <w:rPr>
          <w:rFonts w:cs="Arial"/>
          <w:szCs w:val="24"/>
        </w:rPr>
      </w:pPr>
      <w:r>
        <w:rPr>
          <w:rFonts w:cs="Arial"/>
          <w:szCs w:val="24"/>
        </w:rPr>
        <w:t xml:space="preserve">The Objector has also referred to Mr </w:t>
      </w:r>
      <w:proofErr w:type="spellStart"/>
      <w:r>
        <w:rPr>
          <w:rFonts w:cs="Arial"/>
          <w:szCs w:val="24"/>
        </w:rPr>
        <w:t>Hemmings</w:t>
      </w:r>
      <w:proofErr w:type="spellEnd"/>
      <w:r>
        <w:rPr>
          <w:rFonts w:cs="Arial"/>
          <w:szCs w:val="24"/>
        </w:rPr>
        <w:t>' tested evidence on the access onto the Land in the period pre-1982, and that for someone to get onto the Land</w:t>
      </w:r>
      <w:r w:rsidR="006A5390">
        <w:rPr>
          <w:rFonts w:cs="Arial"/>
          <w:szCs w:val="24"/>
        </w:rPr>
        <w:t xml:space="preserve"> </w:t>
      </w:r>
      <w:r>
        <w:rPr>
          <w:rFonts w:cs="Arial"/>
          <w:szCs w:val="24"/>
        </w:rPr>
        <w:t xml:space="preserve">they would have to climb over a fence, a locked gate from Bradley Lane or hedge to get onto the Land. </w:t>
      </w:r>
      <w:r w:rsidR="001210B4">
        <w:rPr>
          <w:rFonts w:cs="Arial"/>
          <w:szCs w:val="24"/>
        </w:rPr>
        <w:t>The Objector confirms "</w:t>
      </w:r>
      <w:r w:rsidR="006A5390">
        <w:rPr>
          <w:rFonts w:cs="Arial"/>
          <w:szCs w:val="24"/>
        </w:rPr>
        <w:t xml:space="preserve">Mr </w:t>
      </w:r>
      <w:proofErr w:type="spellStart"/>
      <w:r w:rsidR="006A5390">
        <w:rPr>
          <w:rFonts w:cs="Arial"/>
          <w:szCs w:val="24"/>
        </w:rPr>
        <w:t>Hemmings</w:t>
      </w:r>
      <w:proofErr w:type="spellEnd"/>
      <w:r w:rsidR="006A5390">
        <w:rPr>
          <w:rFonts w:cs="Arial"/>
          <w:szCs w:val="24"/>
        </w:rPr>
        <w:t xml:space="preserve"> could demonstrate that by pointing out that when the </w:t>
      </w:r>
      <w:r w:rsidR="001210B4">
        <w:rPr>
          <w:rFonts w:cs="Arial"/>
          <w:szCs w:val="24"/>
        </w:rPr>
        <w:t xml:space="preserve">playing field which previously occupied the site of </w:t>
      </w:r>
      <w:proofErr w:type="spellStart"/>
      <w:r w:rsidR="001210B4">
        <w:rPr>
          <w:rFonts w:cs="Arial"/>
          <w:szCs w:val="24"/>
        </w:rPr>
        <w:t>Middlewood</w:t>
      </w:r>
      <w:proofErr w:type="spellEnd"/>
      <w:r w:rsidR="001210B4">
        <w:rPr>
          <w:rFonts w:cs="Arial"/>
          <w:szCs w:val="24"/>
        </w:rPr>
        <w:t xml:space="preserve"> Close was used, it had to be accessed from the area around "The </w:t>
      </w:r>
      <w:proofErr w:type="spellStart"/>
      <w:r w:rsidR="001210B4">
        <w:rPr>
          <w:rFonts w:cs="Arial"/>
          <w:szCs w:val="24"/>
        </w:rPr>
        <w:t>Rec</w:t>
      </w:r>
      <w:proofErr w:type="spellEnd"/>
      <w:r w:rsidR="001210B4">
        <w:rPr>
          <w:rFonts w:cs="Arial"/>
          <w:szCs w:val="24"/>
        </w:rPr>
        <w:t>" by taking a westerly route around th</w:t>
      </w:r>
      <w:r w:rsidR="009E459F">
        <w:rPr>
          <w:rFonts w:cs="Arial"/>
          <w:szCs w:val="24"/>
        </w:rPr>
        <w:t xml:space="preserve">e </w:t>
      </w:r>
      <w:r w:rsidR="001210B4">
        <w:rPr>
          <w:rFonts w:cs="Arial"/>
          <w:szCs w:val="24"/>
        </w:rPr>
        <w:t xml:space="preserve">Carrington Centre and could not be accessed from the school field which lies to the east of the </w:t>
      </w:r>
      <w:r w:rsidR="00653230">
        <w:rPr>
          <w:rFonts w:cs="Arial"/>
          <w:szCs w:val="24"/>
        </w:rPr>
        <w:t>Land</w:t>
      </w:r>
      <w:r w:rsidR="001210B4">
        <w:rPr>
          <w:rFonts w:cs="Arial"/>
          <w:szCs w:val="24"/>
        </w:rPr>
        <w:t xml:space="preserve">. The fence between the </w:t>
      </w:r>
      <w:r w:rsidR="00653230">
        <w:rPr>
          <w:rFonts w:cs="Arial"/>
          <w:szCs w:val="24"/>
        </w:rPr>
        <w:t>L</w:t>
      </w:r>
      <w:r w:rsidR="001210B4">
        <w:rPr>
          <w:rFonts w:cs="Arial"/>
          <w:szCs w:val="24"/>
        </w:rPr>
        <w:t xml:space="preserve">and and the school land was only removed in 2006." </w:t>
      </w:r>
      <w:r>
        <w:rPr>
          <w:rFonts w:cs="Arial"/>
          <w:szCs w:val="24"/>
        </w:rPr>
        <w:t>Whilst it is noted that this evidence pre-dates the relevant period</w:t>
      </w:r>
      <w:r w:rsidR="001210B4">
        <w:rPr>
          <w:rFonts w:cs="Arial"/>
          <w:szCs w:val="24"/>
        </w:rPr>
        <w:t xml:space="preserve">, the Objector's submission that </w:t>
      </w:r>
      <w:r w:rsidR="009E459F">
        <w:rPr>
          <w:rFonts w:cs="Arial"/>
          <w:szCs w:val="24"/>
        </w:rPr>
        <w:t xml:space="preserve">user evidence pre-1982 is either wrong or use is by force and thus </w:t>
      </w:r>
      <w:r>
        <w:rPr>
          <w:rFonts w:cs="Arial"/>
          <w:szCs w:val="24"/>
        </w:rPr>
        <w:t>raises further questions on the reliability on the user evidence</w:t>
      </w:r>
      <w:r w:rsidR="00C325B5">
        <w:rPr>
          <w:rFonts w:cs="Arial"/>
          <w:szCs w:val="24"/>
        </w:rPr>
        <w:t xml:space="preserve"> as a whole</w:t>
      </w:r>
      <w:r w:rsidR="009E459F">
        <w:rPr>
          <w:rFonts w:cs="Arial"/>
          <w:szCs w:val="24"/>
        </w:rPr>
        <w:t xml:space="preserve">, ought to be accepted. </w:t>
      </w:r>
      <w:r>
        <w:rPr>
          <w:rFonts w:cs="Arial"/>
          <w:szCs w:val="24"/>
        </w:rPr>
        <w:t xml:space="preserve">  </w:t>
      </w:r>
    </w:p>
    <w:p w:rsidR="009E459F" w:rsidRDefault="009E459F" w:rsidP="00B776D3">
      <w:pPr>
        <w:rPr>
          <w:rFonts w:cs="Arial"/>
          <w:szCs w:val="24"/>
        </w:rPr>
      </w:pPr>
    </w:p>
    <w:p w:rsidR="007A6333" w:rsidRDefault="007A6333" w:rsidP="007A6333">
      <w:pPr>
        <w:rPr>
          <w:rFonts w:cs="Arial"/>
          <w:szCs w:val="24"/>
        </w:rPr>
      </w:pPr>
      <w:r>
        <w:rPr>
          <w:rFonts w:cs="Arial"/>
          <w:szCs w:val="24"/>
        </w:rPr>
        <w:lastRenderedPageBreak/>
        <w:t xml:space="preserve">It is also significant </w:t>
      </w:r>
      <w:r w:rsidR="00347064">
        <w:rPr>
          <w:rFonts w:cs="Arial"/>
          <w:szCs w:val="24"/>
        </w:rPr>
        <w:t xml:space="preserve">from the findings at the site inspection that </w:t>
      </w:r>
      <w:r>
        <w:rPr>
          <w:rFonts w:cs="Arial"/>
          <w:szCs w:val="24"/>
        </w:rPr>
        <w:t xml:space="preserve">alternative land </w:t>
      </w:r>
      <w:r w:rsidR="00347064">
        <w:rPr>
          <w:rFonts w:cs="Arial"/>
          <w:szCs w:val="24"/>
        </w:rPr>
        <w:t>was widely av</w:t>
      </w:r>
      <w:r>
        <w:rPr>
          <w:rFonts w:cs="Arial"/>
          <w:szCs w:val="24"/>
        </w:rPr>
        <w:t>ailable</w:t>
      </w:r>
      <w:r w:rsidR="00347064">
        <w:rPr>
          <w:rFonts w:cs="Arial"/>
          <w:szCs w:val="24"/>
        </w:rPr>
        <w:t xml:space="preserve"> for use. To the north of the Land </w:t>
      </w:r>
      <w:r>
        <w:rPr>
          <w:rFonts w:cs="Arial"/>
          <w:szCs w:val="24"/>
        </w:rPr>
        <w:t>the</w:t>
      </w:r>
      <w:r w:rsidR="00347064">
        <w:rPr>
          <w:rFonts w:cs="Arial"/>
          <w:szCs w:val="24"/>
        </w:rPr>
        <w:t>re is the</w:t>
      </w:r>
      <w:r>
        <w:rPr>
          <w:rFonts w:cs="Arial"/>
          <w:szCs w:val="24"/>
        </w:rPr>
        <w:t xml:space="preserve"> jubilee playing field, the </w:t>
      </w:r>
      <w:proofErr w:type="spellStart"/>
      <w:r>
        <w:rPr>
          <w:rFonts w:cs="Arial"/>
          <w:szCs w:val="24"/>
        </w:rPr>
        <w:t>Eccleston</w:t>
      </w:r>
      <w:proofErr w:type="spellEnd"/>
      <w:r>
        <w:rPr>
          <w:rFonts w:cs="Arial"/>
          <w:szCs w:val="24"/>
        </w:rPr>
        <w:t xml:space="preserve"> playing field (where senior football takes place) and the recreation ground comprising a playground and a skateboard park</w:t>
      </w:r>
      <w:r w:rsidR="00347064">
        <w:rPr>
          <w:rFonts w:cs="Arial"/>
          <w:szCs w:val="24"/>
        </w:rPr>
        <w:t xml:space="preserve"> </w:t>
      </w:r>
      <w:r>
        <w:rPr>
          <w:rFonts w:cs="Arial"/>
          <w:szCs w:val="24"/>
        </w:rPr>
        <w:t xml:space="preserve">owned by </w:t>
      </w:r>
      <w:proofErr w:type="spellStart"/>
      <w:r>
        <w:rPr>
          <w:rFonts w:cs="Arial"/>
          <w:szCs w:val="24"/>
        </w:rPr>
        <w:t>Eccleston</w:t>
      </w:r>
      <w:proofErr w:type="spellEnd"/>
      <w:r>
        <w:rPr>
          <w:rFonts w:cs="Arial"/>
          <w:szCs w:val="24"/>
        </w:rPr>
        <w:t xml:space="preserve"> Parish Council. In addition, the Land adjoins </w:t>
      </w:r>
      <w:r w:rsidR="00B23CF2">
        <w:rPr>
          <w:rFonts w:cs="Arial"/>
          <w:szCs w:val="24"/>
        </w:rPr>
        <w:t xml:space="preserve">to the east with </w:t>
      </w:r>
      <w:r>
        <w:rPr>
          <w:rFonts w:cs="Arial"/>
          <w:szCs w:val="24"/>
        </w:rPr>
        <w:t xml:space="preserve">Lancashire County Council owned school field and since 2006, there has been no clear defined boundary so it appears on inspection that the Land and the school's land forms one piece of land. It ought to be accepted that the alternative land and the school land may have deterred many from using the Land, particularly for certain purposes </w:t>
      </w:r>
      <w:r w:rsidR="00347064">
        <w:rPr>
          <w:rFonts w:cs="Arial"/>
          <w:szCs w:val="24"/>
        </w:rPr>
        <w:t xml:space="preserve">and </w:t>
      </w:r>
      <w:r>
        <w:rPr>
          <w:rFonts w:cs="Arial"/>
          <w:szCs w:val="24"/>
        </w:rPr>
        <w:t xml:space="preserve">lends itself to confusion as to which land was </w:t>
      </w:r>
      <w:r w:rsidR="00CA67F7">
        <w:rPr>
          <w:rFonts w:cs="Arial"/>
          <w:szCs w:val="24"/>
        </w:rPr>
        <w:t xml:space="preserve">actually </w:t>
      </w:r>
      <w:r>
        <w:rPr>
          <w:rFonts w:cs="Arial"/>
          <w:szCs w:val="24"/>
        </w:rPr>
        <w:t xml:space="preserve">used. </w:t>
      </w:r>
    </w:p>
    <w:p w:rsidR="007A6333" w:rsidRDefault="007A6333" w:rsidP="00ED5634">
      <w:pPr>
        <w:rPr>
          <w:rFonts w:cs="Arial"/>
          <w:szCs w:val="24"/>
        </w:rPr>
      </w:pPr>
    </w:p>
    <w:p w:rsidR="00ED5634" w:rsidRDefault="00ED5634" w:rsidP="00ED5634">
      <w:pPr>
        <w:rPr>
          <w:rFonts w:cs="Arial"/>
          <w:szCs w:val="24"/>
        </w:rPr>
      </w:pPr>
      <w:r>
        <w:rPr>
          <w:rFonts w:cs="Arial"/>
          <w:szCs w:val="24"/>
        </w:rPr>
        <w:t xml:space="preserve">From the available </w:t>
      </w:r>
      <w:r w:rsidR="001210B4">
        <w:rPr>
          <w:rFonts w:cs="Arial"/>
          <w:szCs w:val="24"/>
        </w:rPr>
        <w:t xml:space="preserve">user </w:t>
      </w:r>
      <w:r>
        <w:rPr>
          <w:rFonts w:cs="Arial"/>
          <w:szCs w:val="24"/>
        </w:rPr>
        <w:t>evidence, there is no means of clarifying the land used</w:t>
      </w:r>
      <w:r w:rsidR="001210B4">
        <w:rPr>
          <w:rFonts w:cs="Arial"/>
          <w:szCs w:val="24"/>
        </w:rPr>
        <w:t xml:space="preserve">, </w:t>
      </w:r>
      <w:r>
        <w:rPr>
          <w:rFonts w:cs="Arial"/>
          <w:szCs w:val="24"/>
        </w:rPr>
        <w:t xml:space="preserve">assessing the extent to which the walking was used as </w:t>
      </w:r>
      <w:r w:rsidR="00C71F9F">
        <w:rPr>
          <w:rFonts w:cs="Arial"/>
          <w:szCs w:val="24"/>
        </w:rPr>
        <w:t xml:space="preserve">a short cut or </w:t>
      </w:r>
      <w:r>
        <w:rPr>
          <w:rFonts w:cs="Arial"/>
          <w:szCs w:val="24"/>
        </w:rPr>
        <w:t>crossi</w:t>
      </w:r>
      <w:r w:rsidR="00CA67F7">
        <w:rPr>
          <w:rFonts w:cs="Arial"/>
          <w:szCs w:val="24"/>
        </w:rPr>
        <w:t xml:space="preserve">ng point to a location elsewhere, </w:t>
      </w:r>
      <w:r>
        <w:rPr>
          <w:rFonts w:cs="Arial"/>
          <w:szCs w:val="24"/>
        </w:rPr>
        <w:t>how much use was with permission</w:t>
      </w:r>
      <w:r w:rsidR="001210B4">
        <w:rPr>
          <w:rFonts w:cs="Arial"/>
          <w:szCs w:val="24"/>
        </w:rPr>
        <w:t xml:space="preserve"> or simply incorrect. This </w:t>
      </w:r>
      <w:r w:rsidR="00C71F9F">
        <w:rPr>
          <w:rFonts w:cs="Arial"/>
          <w:szCs w:val="24"/>
        </w:rPr>
        <w:t xml:space="preserve">goes to the </w:t>
      </w:r>
      <w:r w:rsidR="003E0E0A">
        <w:rPr>
          <w:rFonts w:cs="Arial"/>
          <w:szCs w:val="24"/>
        </w:rPr>
        <w:t>Objector's accepted argument on the quality of the user form evidence</w:t>
      </w:r>
      <w:r w:rsidR="00C71F9F">
        <w:rPr>
          <w:rFonts w:cs="Arial"/>
          <w:szCs w:val="24"/>
        </w:rPr>
        <w:t xml:space="preserve"> not being afforded much weight without explanation or testing</w:t>
      </w:r>
      <w:r w:rsidR="003E0E0A">
        <w:rPr>
          <w:rFonts w:cs="Arial"/>
          <w:szCs w:val="24"/>
        </w:rPr>
        <w:t>.</w:t>
      </w:r>
      <w:r w:rsidR="00F910FE">
        <w:rPr>
          <w:rFonts w:cs="Arial"/>
          <w:szCs w:val="24"/>
        </w:rPr>
        <w:t xml:space="preserve"> </w:t>
      </w:r>
    </w:p>
    <w:p w:rsidR="00C71F9F" w:rsidRDefault="00C71F9F" w:rsidP="00ED5634">
      <w:pPr>
        <w:rPr>
          <w:rFonts w:cs="Arial"/>
          <w:szCs w:val="24"/>
        </w:rPr>
      </w:pPr>
    </w:p>
    <w:p w:rsidR="00EB1037" w:rsidRDefault="00EB7A77" w:rsidP="00EB7A77">
      <w:r>
        <w:t xml:space="preserve">Given that </w:t>
      </w:r>
      <w:r w:rsidR="00F1359A">
        <w:t>use must be sufficiently frequent and not merely sporadic in nature</w:t>
      </w:r>
      <w:r w:rsidR="00B23CF2">
        <w:t xml:space="preserve">, </w:t>
      </w:r>
      <w:r w:rsidR="006C34D2">
        <w:t xml:space="preserve">that </w:t>
      </w:r>
      <w:r>
        <w:t>i</w:t>
      </w:r>
      <w:r w:rsidR="00F1359A">
        <w:t>t must give the landowner the appearance that rights of a continuous nature ar</w:t>
      </w:r>
      <w:r>
        <w:t xml:space="preserve">e being asserted </w:t>
      </w:r>
      <w:r w:rsidR="00A2552D">
        <w:t xml:space="preserve">and given the burden of proof, </w:t>
      </w:r>
      <w:r w:rsidR="00EB1037">
        <w:t>it is considered that the Applicant has failed to establish on the balance of probabilities that the qualifying use has taken place on the Land</w:t>
      </w:r>
      <w:r w:rsidR="00A2552D">
        <w:t>,</w:t>
      </w:r>
      <w:r w:rsidR="00EB1037">
        <w:t xml:space="preserve"> continuously throughout the relevant 20 year period</w:t>
      </w:r>
      <w:r w:rsidR="00C71F9F">
        <w:t>.</w:t>
      </w:r>
    </w:p>
    <w:p w:rsidR="00C71F9F" w:rsidRDefault="00C71F9F" w:rsidP="00EB7A77"/>
    <w:p w:rsidR="00B15475" w:rsidRDefault="00B15475" w:rsidP="00B776D3">
      <w:pPr>
        <w:rPr>
          <w:rFonts w:cs="Arial"/>
          <w:b/>
          <w:szCs w:val="24"/>
        </w:rPr>
      </w:pPr>
      <w:r>
        <w:rPr>
          <w:rFonts w:cs="Arial"/>
          <w:b/>
          <w:szCs w:val="24"/>
        </w:rPr>
        <w:t xml:space="preserve">Use As of Right </w:t>
      </w:r>
    </w:p>
    <w:p w:rsidR="00B15475" w:rsidRDefault="00B15475" w:rsidP="00B776D3">
      <w:pPr>
        <w:rPr>
          <w:rFonts w:cs="Arial"/>
          <w:b/>
          <w:szCs w:val="24"/>
        </w:rPr>
      </w:pPr>
    </w:p>
    <w:p w:rsidR="00B15475" w:rsidRDefault="00222350" w:rsidP="00B776D3">
      <w:pPr>
        <w:rPr>
          <w:rFonts w:cs="Arial"/>
          <w:szCs w:val="24"/>
        </w:rPr>
      </w:pPr>
      <w:r w:rsidRPr="00222350">
        <w:rPr>
          <w:rFonts w:cs="Arial"/>
          <w:szCs w:val="24"/>
        </w:rPr>
        <w:t xml:space="preserve">The remaining issue </w:t>
      </w:r>
      <w:r>
        <w:rPr>
          <w:rFonts w:cs="Arial"/>
          <w:szCs w:val="24"/>
        </w:rPr>
        <w:t xml:space="preserve">is whether the use of the land has been </w:t>
      </w:r>
      <w:r>
        <w:rPr>
          <w:rFonts w:cs="Arial"/>
          <w:i/>
          <w:szCs w:val="24"/>
        </w:rPr>
        <w:t>"as of right"</w:t>
      </w:r>
      <w:r>
        <w:rPr>
          <w:rFonts w:cs="Arial"/>
          <w:szCs w:val="24"/>
        </w:rPr>
        <w:t xml:space="preserve">. In order to be </w:t>
      </w:r>
      <w:r>
        <w:rPr>
          <w:rFonts w:cs="Arial"/>
          <w:i/>
          <w:szCs w:val="24"/>
        </w:rPr>
        <w:t>"as of right"</w:t>
      </w:r>
      <w:r>
        <w:rPr>
          <w:rFonts w:cs="Arial"/>
          <w:szCs w:val="24"/>
        </w:rPr>
        <w:t xml:space="preserve">, the use must have been without secrecy, without force and without permission. </w:t>
      </w:r>
      <w:r w:rsidR="005002CE">
        <w:rPr>
          <w:rFonts w:cs="Arial"/>
          <w:szCs w:val="24"/>
        </w:rPr>
        <w:t xml:space="preserve"> </w:t>
      </w:r>
      <w:r w:rsidR="00272922">
        <w:rPr>
          <w:rFonts w:cs="Arial"/>
          <w:szCs w:val="24"/>
        </w:rPr>
        <w:t xml:space="preserve"> </w:t>
      </w:r>
    </w:p>
    <w:p w:rsidR="004D1D52" w:rsidRDefault="004D1D52" w:rsidP="00B776D3">
      <w:pPr>
        <w:rPr>
          <w:rFonts w:cs="Arial"/>
          <w:szCs w:val="24"/>
        </w:rPr>
      </w:pPr>
    </w:p>
    <w:p w:rsidR="00C0262E" w:rsidRDefault="007616A9" w:rsidP="00B776D3">
      <w:pPr>
        <w:rPr>
          <w:rFonts w:cs="Arial"/>
          <w:szCs w:val="24"/>
        </w:rPr>
      </w:pPr>
      <w:r>
        <w:rPr>
          <w:rFonts w:cs="Arial"/>
          <w:szCs w:val="24"/>
        </w:rPr>
        <w:t>It is notable</w:t>
      </w:r>
      <w:r w:rsidR="00C0262E">
        <w:rPr>
          <w:rFonts w:cs="Arial"/>
          <w:szCs w:val="24"/>
        </w:rPr>
        <w:t xml:space="preserve"> that football was the most recorded activity within the user's evidence. </w:t>
      </w:r>
    </w:p>
    <w:p w:rsidR="00272922" w:rsidRDefault="004D1D52" w:rsidP="00B776D3">
      <w:pPr>
        <w:rPr>
          <w:rFonts w:cs="Arial"/>
          <w:szCs w:val="24"/>
        </w:rPr>
      </w:pPr>
      <w:r>
        <w:rPr>
          <w:rFonts w:cs="Arial"/>
          <w:szCs w:val="24"/>
        </w:rPr>
        <w:t xml:space="preserve">Mr </w:t>
      </w:r>
      <w:proofErr w:type="spellStart"/>
      <w:r>
        <w:rPr>
          <w:rFonts w:cs="Arial"/>
          <w:szCs w:val="24"/>
        </w:rPr>
        <w:t>Hemmings</w:t>
      </w:r>
      <w:proofErr w:type="spellEnd"/>
      <w:r>
        <w:rPr>
          <w:rFonts w:cs="Arial"/>
          <w:szCs w:val="24"/>
        </w:rPr>
        <w:t xml:space="preserve">' tested evidence refers to use </w:t>
      </w:r>
      <w:r w:rsidR="007616A9">
        <w:rPr>
          <w:rFonts w:cs="Arial"/>
          <w:szCs w:val="24"/>
        </w:rPr>
        <w:t xml:space="preserve">for football </w:t>
      </w:r>
      <w:r>
        <w:rPr>
          <w:rFonts w:cs="Arial"/>
          <w:szCs w:val="24"/>
        </w:rPr>
        <w:t>which was with revocable permission and so wa</w:t>
      </w:r>
      <w:r w:rsidR="00E6773F">
        <w:rPr>
          <w:rFonts w:cs="Arial"/>
          <w:szCs w:val="24"/>
        </w:rPr>
        <w:t xml:space="preserve">s not "as of right". Mr </w:t>
      </w:r>
      <w:proofErr w:type="spellStart"/>
      <w:r w:rsidR="00E6773F">
        <w:rPr>
          <w:rFonts w:cs="Arial"/>
          <w:szCs w:val="24"/>
        </w:rPr>
        <w:t>Hemming</w:t>
      </w:r>
      <w:r>
        <w:rPr>
          <w:rFonts w:cs="Arial"/>
          <w:szCs w:val="24"/>
        </w:rPr>
        <w:t>s</w:t>
      </w:r>
      <w:proofErr w:type="spellEnd"/>
      <w:r w:rsidR="00E6773F">
        <w:rPr>
          <w:rFonts w:cs="Arial"/>
          <w:szCs w:val="24"/>
        </w:rPr>
        <w:t>'</w:t>
      </w:r>
      <w:r>
        <w:rPr>
          <w:rFonts w:cs="Arial"/>
          <w:szCs w:val="24"/>
        </w:rPr>
        <w:t xml:space="preserve"> oral evidence c</w:t>
      </w:r>
      <w:r w:rsidR="006C34D2">
        <w:rPr>
          <w:rFonts w:cs="Arial"/>
          <w:szCs w:val="24"/>
        </w:rPr>
        <w:t xml:space="preserve">onfirmed that from 1982 to 1994, </w:t>
      </w:r>
      <w:proofErr w:type="spellStart"/>
      <w:r w:rsidR="006C34D2">
        <w:rPr>
          <w:rFonts w:cs="Arial"/>
          <w:szCs w:val="24"/>
        </w:rPr>
        <w:t>Eccleston</w:t>
      </w:r>
      <w:proofErr w:type="spellEnd"/>
      <w:r w:rsidR="006C34D2">
        <w:rPr>
          <w:rFonts w:cs="Arial"/>
          <w:szCs w:val="24"/>
        </w:rPr>
        <w:t xml:space="preserve"> and </w:t>
      </w:r>
      <w:proofErr w:type="spellStart"/>
      <w:r w:rsidR="006C34D2">
        <w:rPr>
          <w:rFonts w:cs="Arial"/>
          <w:szCs w:val="24"/>
        </w:rPr>
        <w:t>Heskin</w:t>
      </w:r>
      <w:proofErr w:type="spellEnd"/>
      <w:r w:rsidR="006C34D2">
        <w:rPr>
          <w:rFonts w:cs="Arial"/>
          <w:szCs w:val="24"/>
        </w:rPr>
        <w:t xml:space="preserve"> Football Club ("</w:t>
      </w:r>
      <w:r>
        <w:rPr>
          <w:rFonts w:cs="Arial"/>
          <w:szCs w:val="24"/>
        </w:rPr>
        <w:t>EHFC</w:t>
      </w:r>
      <w:r w:rsidR="006C34D2">
        <w:rPr>
          <w:rFonts w:cs="Arial"/>
          <w:szCs w:val="24"/>
        </w:rPr>
        <w:t>")</w:t>
      </w:r>
      <w:r>
        <w:rPr>
          <w:rFonts w:cs="Arial"/>
          <w:szCs w:val="24"/>
        </w:rPr>
        <w:t xml:space="preserve"> had an informal </w:t>
      </w:r>
      <w:r w:rsidR="00200CF9">
        <w:rPr>
          <w:rFonts w:cs="Arial"/>
          <w:szCs w:val="24"/>
        </w:rPr>
        <w:t>L</w:t>
      </w:r>
      <w:r>
        <w:rPr>
          <w:rFonts w:cs="Arial"/>
          <w:szCs w:val="24"/>
        </w:rPr>
        <w:t>icence arrangement with</w:t>
      </w:r>
      <w:r w:rsidR="00200CF9">
        <w:rPr>
          <w:rFonts w:cs="Arial"/>
          <w:szCs w:val="24"/>
        </w:rPr>
        <w:t xml:space="preserve"> the landowner. From 1994, the L</w:t>
      </w:r>
      <w:r>
        <w:rPr>
          <w:rFonts w:cs="Arial"/>
          <w:szCs w:val="24"/>
        </w:rPr>
        <w:t xml:space="preserve">icence </w:t>
      </w:r>
      <w:r w:rsidR="006C34D2">
        <w:rPr>
          <w:rFonts w:cs="Arial"/>
          <w:szCs w:val="24"/>
        </w:rPr>
        <w:t xml:space="preserve">was formalised in writing </w:t>
      </w:r>
      <w:r>
        <w:rPr>
          <w:rFonts w:cs="Arial"/>
          <w:szCs w:val="24"/>
        </w:rPr>
        <w:t>at OB/Doc2</w:t>
      </w:r>
      <w:r w:rsidR="006C34D2">
        <w:rPr>
          <w:rFonts w:cs="Arial"/>
          <w:szCs w:val="24"/>
        </w:rPr>
        <w:t xml:space="preserve">, being </w:t>
      </w:r>
      <w:r>
        <w:rPr>
          <w:rFonts w:cs="Arial"/>
          <w:szCs w:val="24"/>
        </w:rPr>
        <w:t>terminable with one year's notice at OB/Doc2/</w:t>
      </w:r>
      <w:proofErr w:type="spellStart"/>
      <w:r>
        <w:rPr>
          <w:rFonts w:cs="Arial"/>
          <w:szCs w:val="24"/>
        </w:rPr>
        <w:t>para</w:t>
      </w:r>
      <w:proofErr w:type="spellEnd"/>
      <w:r>
        <w:rPr>
          <w:rFonts w:cs="Arial"/>
          <w:szCs w:val="24"/>
        </w:rPr>
        <w:t xml:space="preserve"> 3.3., or for cause at </w:t>
      </w:r>
      <w:r w:rsidR="00625816">
        <w:rPr>
          <w:rFonts w:cs="Arial"/>
          <w:szCs w:val="24"/>
        </w:rPr>
        <w:t>any time at OB/Doc2/</w:t>
      </w:r>
      <w:proofErr w:type="spellStart"/>
      <w:r w:rsidR="00625816">
        <w:rPr>
          <w:rFonts w:cs="Arial"/>
          <w:szCs w:val="24"/>
        </w:rPr>
        <w:t>para</w:t>
      </w:r>
      <w:proofErr w:type="spellEnd"/>
      <w:r w:rsidR="00625816">
        <w:rPr>
          <w:rFonts w:cs="Arial"/>
          <w:szCs w:val="24"/>
        </w:rPr>
        <w:t xml:space="preserve"> 4.1. </w:t>
      </w:r>
      <w:r w:rsidR="00200CF9">
        <w:rPr>
          <w:rFonts w:cs="Arial"/>
          <w:szCs w:val="24"/>
        </w:rPr>
        <w:t>The L</w:t>
      </w:r>
      <w:r w:rsidR="00625816">
        <w:rPr>
          <w:rFonts w:cs="Arial"/>
          <w:szCs w:val="24"/>
        </w:rPr>
        <w:t>icence was thus revocable and so user in pursuance of the Licence was precariou</w:t>
      </w:r>
      <w:r w:rsidR="00C03CDE">
        <w:rPr>
          <w:rFonts w:cs="Arial"/>
          <w:szCs w:val="24"/>
        </w:rPr>
        <w:t xml:space="preserve">s and so not "as of right". </w:t>
      </w:r>
      <w:r w:rsidR="00625816">
        <w:rPr>
          <w:rFonts w:cs="Arial"/>
          <w:szCs w:val="24"/>
        </w:rPr>
        <w:t>The Objector</w:t>
      </w:r>
      <w:r w:rsidR="006C34D2">
        <w:rPr>
          <w:rFonts w:cs="Arial"/>
          <w:szCs w:val="24"/>
        </w:rPr>
        <w:t>'s submission</w:t>
      </w:r>
      <w:r w:rsidR="00625816">
        <w:rPr>
          <w:rFonts w:cs="Arial"/>
          <w:szCs w:val="24"/>
        </w:rPr>
        <w:t xml:space="preserve"> that as the </w:t>
      </w:r>
      <w:r w:rsidR="006C09D9">
        <w:rPr>
          <w:rFonts w:cs="Arial"/>
          <w:szCs w:val="24"/>
        </w:rPr>
        <w:t>L</w:t>
      </w:r>
      <w:r w:rsidR="00625816">
        <w:rPr>
          <w:rFonts w:cs="Arial"/>
          <w:szCs w:val="24"/>
        </w:rPr>
        <w:t xml:space="preserve">icence permitted use as a playing field for </w:t>
      </w:r>
      <w:r w:rsidR="00E6773F">
        <w:rPr>
          <w:rFonts w:cs="Arial"/>
          <w:szCs w:val="24"/>
        </w:rPr>
        <w:t>EHFC</w:t>
      </w:r>
      <w:r w:rsidR="006C34D2">
        <w:rPr>
          <w:rFonts w:cs="Arial"/>
          <w:szCs w:val="24"/>
        </w:rPr>
        <w:t xml:space="preserve"> , </w:t>
      </w:r>
      <w:r w:rsidR="00625816">
        <w:rPr>
          <w:rFonts w:cs="Arial"/>
          <w:szCs w:val="24"/>
        </w:rPr>
        <w:t>use of the playing field by spectators must also have been part of the permitted use</w:t>
      </w:r>
      <w:r w:rsidR="00B23CF2">
        <w:rPr>
          <w:rFonts w:cs="Arial"/>
          <w:szCs w:val="24"/>
        </w:rPr>
        <w:t>. I</w:t>
      </w:r>
      <w:r w:rsidR="00564140">
        <w:rPr>
          <w:rFonts w:cs="Arial"/>
          <w:szCs w:val="24"/>
        </w:rPr>
        <w:t xml:space="preserve">t </w:t>
      </w:r>
      <w:r w:rsidR="00B23CF2">
        <w:rPr>
          <w:rFonts w:cs="Arial"/>
          <w:szCs w:val="24"/>
        </w:rPr>
        <w:t xml:space="preserve">ought to be </w:t>
      </w:r>
      <w:r w:rsidR="00564140">
        <w:rPr>
          <w:rFonts w:cs="Arial"/>
          <w:szCs w:val="24"/>
        </w:rPr>
        <w:t xml:space="preserve">accepted </w:t>
      </w:r>
      <w:r w:rsidR="00625816">
        <w:rPr>
          <w:rFonts w:cs="Arial"/>
          <w:szCs w:val="24"/>
        </w:rPr>
        <w:t>that a football match would draw family and friends as spectator</w:t>
      </w:r>
      <w:r w:rsidR="00676811">
        <w:rPr>
          <w:rFonts w:cs="Arial"/>
          <w:szCs w:val="24"/>
        </w:rPr>
        <w:t>s and their use pursuant to the Licence would also be "by rig</w:t>
      </w:r>
      <w:r w:rsidR="005002CE">
        <w:rPr>
          <w:rFonts w:cs="Arial"/>
          <w:szCs w:val="24"/>
        </w:rPr>
        <w:t xml:space="preserve">ht" as opposed to "as of right". It can be further accepted that use by the visiting teams would be part of the permitted use. </w:t>
      </w:r>
      <w:r w:rsidR="008D6506">
        <w:rPr>
          <w:rFonts w:cs="Arial"/>
          <w:szCs w:val="24"/>
        </w:rPr>
        <w:t xml:space="preserve">Mr </w:t>
      </w:r>
      <w:proofErr w:type="spellStart"/>
      <w:r w:rsidR="008D6506">
        <w:rPr>
          <w:rFonts w:cs="Arial"/>
          <w:szCs w:val="24"/>
        </w:rPr>
        <w:t>Hemming</w:t>
      </w:r>
      <w:r w:rsidR="006C09D9">
        <w:rPr>
          <w:rFonts w:cs="Arial"/>
          <w:szCs w:val="24"/>
        </w:rPr>
        <w:t>s</w:t>
      </w:r>
      <w:proofErr w:type="spellEnd"/>
      <w:r w:rsidR="008D6506">
        <w:rPr>
          <w:rFonts w:cs="Arial"/>
          <w:szCs w:val="24"/>
        </w:rPr>
        <w:t xml:space="preserve"> </w:t>
      </w:r>
      <w:r w:rsidR="00CE3040">
        <w:rPr>
          <w:rFonts w:cs="Arial"/>
          <w:szCs w:val="24"/>
        </w:rPr>
        <w:t xml:space="preserve">also addressed the evidence of adults playing football on the Bradley Lane Field on a Tuesday night and his uncontested evidence confirmed that they were in fact EHFC players who trained </w:t>
      </w:r>
      <w:r w:rsidR="006C09D9">
        <w:rPr>
          <w:rFonts w:cs="Arial"/>
          <w:szCs w:val="24"/>
        </w:rPr>
        <w:t>on a Tuesday and b</w:t>
      </w:r>
      <w:r w:rsidR="00C0262E">
        <w:rPr>
          <w:rFonts w:cs="Arial"/>
          <w:szCs w:val="24"/>
        </w:rPr>
        <w:t>r</w:t>
      </w:r>
      <w:r w:rsidR="006C09D9">
        <w:rPr>
          <w:rFonts w:cs="Arial"/>
          <w:szCs w:val="24"/>
        </w:rPr>
        <w:t xml:space="preserve">ought </w:t>
      </w:r>
      <w:r w:rsidR="00F910FE">
        <w:rPr>
          <w:rFonts w:cs="Arial"/>
          <w:szCs w:val="24"/>
        </w:rPr>
        <w:t xml:space="preserve">their own goal posts with the permission under the Licence. </w:t>
      </w:r>
    </w:p>
    <w:p w:rsidR="00F910FE" w:rsidRDefault="00F910FE" w:rsidP="00B776D3">
      <w:pPr>
        <w:rPr>
          <w:rFonts w:cs="Arial"/>
          <w:szCs w:val="24"/>
        </w:rPr>
      </w:pPr>
    </w:p>
    <w:p w:rsidR="006B7949" w:rsidRDefault="00E6773F" w:rsidP="00564140">
      <w:r>
        <w:t xml:space="preserve">Mr </w:t>
      </w:r>
      <w:proofErr w:type="spellStart"/>
      <w:r>
        <w:t>Hemming</w:t>
      </w:r>
      <w:r w:rsidR="005002CE">
        <w:t>s</w:t>
      </w:r>
      <w:proofErr w:type="spellEnd"/>
      <w:r>
        <w:t>'</w:t>
      </w:r>
      <w:r w:rsidR="005002CE">
        <w:t xml:space="preserve"> oral evidence also referred to the written evidence of Robert Taylor and Robert Bryce regarding other activities on the Land. </w:t>
      </w:r>
      <w:r w:rsidR="00C46D38">
        <w:t xml:space="preserve">In particular, </w:t>
      </w:r>
      <w:r>
        <w:t xml:space="preserve">Mr </w:t>
      </w:r>
      <w:proofErr w:type="spellStart"/>
      <w:r>
        <w:t>Hemming</w:t>
      </w:r>
      <w:r w:rsidR="005002CE">
        <w:t>s</w:t>
      </w:r>
      <w:proofErr w:type="spellEnd"/>
      <w:r>
        <w:t>'</w:t>
      </w:r>
      <w:r w:rsidR="005002CE">
        <w:t xml:space="preserve"> tested evidence </w:t>
      </w:r>
      <w:r w:rsidR="00C46D38">
        <w:t xml:space="preserve">corroborated the evidence of </w:t>
      </w:r>
      <w:r w:rsidR="005002CE">
        <w:t>Mr Taylor</w:t>
      </w:r>
      <w:r w:rsidR="00E03386">
        <w:t>,</w:t>
      </w:r>
      <w:r w:rsidR="005002CE">
        <w:t xml:space="preserve"> that th</w:t>
      </w:r>
      <w:r w:rsidR="00C46D38">
        <w:t xml:space="preserve">e tournament use </w:t>
      </w:r>
      <w:r w:rsidR="00C46D38">
        <w:lastRenderedPageBreak/>
        <w:t xml:space="preserve">was permissive, tournaments raised money and </w:t>
      </w:r>
      <w:r w:rsidR="006B7949">
        <w:t xml:space="preserve">further added that </w:t>
      </w:r>
      <w:r w:rsidR="00C46D38">
        <w:t xml:space="preserve">charges were being made to take away food vans for a pitch. It ought to </w:t>
      </w:r>
      <w:r w:rsidR="00EF73AF">
        <w:t xml:space="preserve">be </w:t>
      </w:r>
      <w:r w:rsidR="00C46D38">
        <w:t>accepted that the Licence and charges to participate and sell take away food is good evidence that u</w:t>
      </w:r>
      <w:r w:rsidR="00EF73AF">
        <w:t xml:space="preserve">se was with permission. </w:t>
      </w:r>
    </w:p>
    <w:p w:rsidR="006B7949" w:rsidRDefault="006B7949" w:rsidP="00564140"/>
    <w:p w:rsidR="00605A84" w:rsidRDefault="00EF73AF" w:rsidP="00564140">
      <w:r>
        <w:t>In evaluating the Applicant's written evidence it is</w:t>
      </w:r>
      <w:r w:rsidR="006B7949">
        <w:t xml:space="preserve"> noted that </w:t>
      </w:r>
      <w:r>
        <w:t xml:space="preserve">a significant amount of users either participated in </w:t>
      </w:r>
      <w:r w:rsidR="006B7949">
        <w:t>o</w:t>
      </w:r>
      <w:r>
        <w:t>r observed football tournaments</w:t>
      </w:r>
      <w:r w:rsidR="00605A84">
        <w:t xml:space="preserve"> and training </w:t>
      </w:r>
      <w:r w:rsidR="006B7949">
        <w:t xml:space="preserve">and without having tested the evidence on balance it ought to be accepted that such use was with permission. </w:t>
      </w:r>
    </w:p>
    <w:p w:rsidR="006C34D2" w:rsidRDefault="006C34D2" w:rsidP="00564140"/>
    <w:p w:rsidR="006C34D2" w:rsidRDefault="00E03386" w:rsidP="00564140">
      <w:r>
        <w:t>Whilst it has been accepted (under the heading 'use for lawful sports and pastimes' above) that some use would have taken place on</w:t>
      </w:r>
      <w:r w:rsidR="00663464">
        <w:t xml:space="preserve"> the Land, it has been accepted (under the heading 'use for not less than 20 years' above) </w:t>
      </w:r>
      <w:r>
        <w:t xml:space="preserve">that there is insufficient clear and reliable evidence of other user which was unconnected with </w:t>
      </w:r>
      <w:r w:rsidR="00E6773F">
        <w:t>EHFC</w:t>
      </w:r>
      <w:r>
        <w:t xml:space="preserve"> to meet the statutory elements for registration.  </w:t>
      </w:r>
    </w:p>
    <w:p w:rsidR="00200CF9" w:rsidRDefault="00200CF9" w:rsidP="00564140"/>
    <w:p w:rsidR="00241503" w:rsidRDefault="00241503" w:rsidP="00B776D3">
      <w:pPr>
        <w:rPr>
          <w:rFonts w:cs="Arial"/>
          <w:b/>
          <w:szCs w:val="24"/>
        </w:rPr>
      </w:pPr>
      <w:r>
        <w:rPr>
          <w:rFonts w:cs="Arial"/>
          <w:b/>
          <w:szCs w:val="24"/>
        </w:rPr>
        <w:t>CONCLUSION</w:t>
      </w:r>
    </w:p>
    <w:p w:rsidR="00241503" w:rsidRDefault="00241503" w:rsidP="00B776D3">
      <w:pPr>
        <w:rPr>
          <w:rFonts w:cs="Arial"/>
          <w:b/>
          <w:szCs w:val="24"/>
        </w:rPr>
      </w:pPr>
    </w:p>
    <w:p w:rsidR="00241503" w:rsidRDefault="00241503" w:rsidP="00241503">
      <w:pPr>
        <w:pStyle w:val="ListParagraph"/>
        <w:spacing w:line="240" w:lineRule="auto"/>
        <w:ind w:left="0"/>
        <w:rPr>
          <w:rFonts w:cs="Arial"/>
        </w:rPr>
      </w:pPr>
      <w:r>
        <w:rPr>
          <w:rFonts w:cs="Arial"/>
        </w:rPr>
        <w:t xml:space="preserve">The decision as to whether all the elements of the section 15(2) and </w:t>
      </w:r>
      <w:r w:rsidR="00663464">
        <w:rPr>
          <w:rFonts w:cs="Arial"/>
        </w:rPr>
        <w:t>15</w:t>
      </w:r>
      <w:r>
        <w:rPr>
          <w:rFonts w:cs="Arial"/>
        </w:rPr>
        <w:t>(3) have been established is one for the Sub Committee to determine</w:t>
      </w:r>
      <w:r w:rsidR="00663464">
        <w:rPr>
          <w:rFonts w:cs="Arial"/>
        </w:rPr>
        <w:t xml:space="preserve">, </w:t>
      </w:r>
      <w:r>
        <w:rPr>
          <w:rFonts w:cs="Arial"/>
        </w:rPr>
        <w:t xml:space="preserve">taking into account all the evidence which </w:t>
      </w:r>
      <w:r w:rsidR="00663464">
        <w:rPr>
          <w:rFonts w:cs="Arial"/>
        </w:rPr>
        <w:t xml:space="preserve">must </w:t>
      </w:r>
      <w:r>
        <w:rPr>
          <w:rFonts w:cs="Arial"/>
        </w:rPr>
        <w:t xml:space="preserve">to be considered in its entirety. </w:t>
      </w:r>
      <w:r w:rsidR="00663464">
        <w:rPr>
          <w:rFonts w:cs="Arial"/>
        </w:rPr>
        <w:t>Having taken</w:t>
      </w:r>
      <w:r>
        <w:rPr>
          <w:rFonts w:cs="Arial"/>
        </w:rPr>
        <w:t xml:space="preserve"> into account all such evidence and submissions made, for the reasons given in this report,</w:t>
      </w:r>
      <w:r w:rsidR="00663464">
        <w:rPr>
          <w:rFonts w:cs="Arial"/>
        </w:rPr>
        <w:t xml:space="preserve"> it is considered that</w:t>
      </w:r>
      <w:r>
        <w:rPr>
          <w:rFonts w:cs="Arial"/>
        </w:rPr>
        <w:t xml:space="preserve"> the Applicant has</w:t>
      </w:r>
      <w:r w:rsidR="00663464">
        <w:rPr>
          <w:rFonts w:cs="Arial"/>
        </w:rPr>
        <w:t xml:space="preserve">, on the balance of probabilities, </w:t>
      </w:r>
      <w:r>
        <w:rPr>
          <w:rFonts w:cs="Arial"/>
        </w:rPr>
        <w:t xml:space="preserve">failed to establish </w:t>
      </w:r>
      <w:r w:rsidR="00663464">
        <w:rPr>
          <w:rFonts w:cs="Arial"/>
        </w:rPr>
        <w:t xml:space="preserve">all </w:t>
      </w:r>
      <w:r>
        <w:rPr>
          <w:rFonts w:cs="Arial"/>
        </w:rPr>
        <w:t>those elements on the</w:t>
      </w:r>
      <w:r w:rsidR="00663464">
        <w:rPr>
          <w:rFonts w:cs="Arial"/>
        </w:rPr>
        <w:t xml:space="preserve"> following</w:t>
      </w:r>
      <w:r>
        <w:rPr>
          <w:rFonts w:cs="Arial"/>
        </w:rPr>
        <w:t xml:space="preserve"> grounds:</w:t>
      </w:r>
    </w:p>
    <w:p w:rsidR="00241503" w:rsidRPr="00217095" w:rsidRDefault="00241503" w:rsidP="00241503">
      <w:pPr>
        <w:pStyle w:val="ListParagraph"/>
        <w:spacing w:line="240" w:lineRule="auto"/>
        <w:ind w:left="0"/>
        <w:rPr>
          <w:rFonts w:cs="Arial"/>
        </w:rPr>
      </w:pPr>
    </w:p>
    <w:p w:rsidR="00B66875" w:rsidRPr="00B66875" w:rsidRDefault="00A2552D" w:rsidP="00241503">
      <w:pPr>
        <w:pStyle w:val="ListParagraph"/>
        <w:numPr>
          <w:ilvl w:val="0"/>
          <w:numId w:val="9"/>
        </w:numPr>
        <w:spacing w:line="240" w:lineRule="auto"/>
        <w:rPr>
          <w:rFonts w:cs="Arial"/>
        </w:rPr>
      </w:pPr>
      <w:r>
        <w:rPr>
          <w:rFonts w:cs="Arial"/>
          <w:szCs w:val="24"/>
        </w:rPr>
        <w:t xml:space="preserve">That the use of the </w:t>
      </w:r>
      <w:r w:rsidR="00B66875">
        <w:rPr>
          <w:rFonts w:cs="Arial"/>
          <w:szCs w:val="24"/>
        </w:rPr>
        <w:t xml:space="preserve">Land for lawful sports and pastimes has not been carried out by a significant number of the inhabitant of the parish of </w:t>
      </w:r>
      <w:proofErr w:type="spellStart"/>
      <w:r w:rsidR="00E1292E">
        <w:rPr>
          <w:rFonts w:cs="Arial"/>
          <w:szCs w:val="24"/>
        </w:rPr>
        <w:t>E</w:t>
      </w:r>
      <w:r w:rsidR="00B66875">
        <w:rPr>
          <w:rFonts w:cs="Arial"/>
          <w:szCs w:val="24"/>
        </w:rPr>
        <w:t>ccleston</w:t>
      </w:r>
      <w:proofErr w:type="spellEnd"/>
      <w:r w:rsidR="00B66875">
        <w:rPr>
          <w:rFonts w:cs="Arial"/>
          <w:szCs w:val="24"/>
        </w:rPr>
        <w:t>;</w:t>
      </w:r>
    </w:p>
    <w:p w:rsidR="00B66875" w:rsidRPr="00B66875" w:rsidRDefault="00B66875" w:rsidP="00B66875">
      <w:pPr>
        <w:pStyle w:val="ListParagraph"/>
        <w:spacing w:line="240" w:lineRule="auto"/>
        <w:rPr>
          <w:rFonts w:cs="Arial"/>
        </w:rPr>
      </w:pPr>
    </w:p>
    <w:p w:rsidR="00200CF9" w:rsidRDefault="00A2552D" w:rsidP="00200CF9">
      <w:pPr>
        <w:pStyle w:val="ListParagraph"/>
        <w:numPr>
          <w:ilvl w:val="0"/>
          <w:numId w:val="9"/>
        </w:numPr>
        <w:spacing w:line="240" w:lineRule="auto"/>
        <w:rPr>
          <w:rFonts w:cs="Arial"/>
          <w:szCs w:val="24"/>
        </w:rPr>
      </w:pPr>
      <w:r w:rsidRPr="00200CF9">
        <w:rPr>
          <w:rFonts w:cs="Arial"/>
          <w:szCs w:val="24"/>
        </w:rPr>
        <w:t xml:space="preserve">That the use of the </w:t>
      </w:r>
      <w:r w:rsidR="00B66875" w:rsidRPr="00200CF9">
        <w:rPr>
          <w:rFonts w:cs="Arial"/>
          <w:szCs w:val="24"/>
        </w:rPr>
        <w:t>Land for lawful sports and pastimes has not taken place throughout the rel</w:t>
      </w:r>
      <w:r w:rsidR="00200CF9">
        <w:rPr>
          <w:rFonts w:cs="Arial"/>
          <w:szCs w:val="24"/>
        </w:rPr>
        <w:t>evant 20 year period;</w:t>
      </w:r>
    </w:p>
    <w:p w:rsidR="00200CF9" w:rsidRPr="00200CF9" w:rsidRDefault="00200CF9" w:rsidP="00200CF9">
      <w:pPr>
        <w:rPr>
          <w:rFonts w:cs="Arial"/>
          <w:szCs w:val="24"/>
        </w:rPr>
      </w:pPr>
    </w:p>
    <w:p w:rsidR="00B66875" w:rsidRPr="00663464" w:rsidRDefault="00B66875" w:rsidP="00B66875">
      <w:pPr>
        <w:pStyle w:val="ListParagraph"/>
        <w:numPr>
          <w:ilvl w:val="0"/>
          <w:numId w:val="9"/>
        </w:numPr>
        <w:spacing w:line="240" w:lineRule="auto"/>
        <w:rPr>
          <w:rFonts w:cs="Arial"/>
        </w:rPr>
      </w:pPr>
      <w:r w:rsidRPr="00200CF9">
        <w:rPr>
          <w:rFonts w:cs="Arial"/>
          <w:szCs w:val="24"/>
        </w:rPr>
        <w:t>T</w:t>
      </w:r>
      <w:r>
        <w:rPr>
          <w:rFonts w:cs="Arial"/>
          <w:szCs w:val="24"/>
        </w:rPr>
        <w:t xml:space="preserve">hat </w:t>
      </w:r>
      <w:r w:rsidR="00272922">
        <w:rPr>
          <w:rFonts w:cs="Arial"/>
          <w:szCs w:val="24"/>
        </w:rPr>
        <w:t xml:space="preserve">the majority </w:t>
      </w:r>
      <w:r w:rsidR="00E1292E">
        <w:rPr>
          <w:rFonts w:cs="Arial"/>
          <w:szCs w:val="24"/>
        </w:rPr>
        <w:t xml:space="preserve">of </w:t>
      </w:r>
      <w:r>
        <w:rPr>
          <w:rFonts w:cs="Arial"/>
          <w:szCs w:val="24"/>
        </w:rPr>
        <w:t xml:space="preserve">the use of the Land has not been as of right. </w:t>
      </w:r>
    </w:p>
    <w:p w:rsidR="00663464" w:rsidRPr="00663464" w:rsidRDefault="00663464" w:rsidP="00663464">
      <w:pPr>
        <w:pStyle w:val="ListParagraph"/>
        <w:rPr>
          <w:rFonts w:cs="Arial"/>
        </w:rPr>
      </w:pPr>
    </w:p>
    <w:p w:rsidR="00217095" w:rsidRDefault="00B66875" w:rsidP="00B66875">
      <w:pPr>
        <w:rPr>
          <w:rFonts w:cs="Arial"/>
        </w:rPr>
      </w:pPr>
      <w:r>
        <w:rPr>
          <w:rFonts w:cs="Arial"/>
        </w:rPr>
        <w:t xml:space="preserve">In view of those conclusions, it is recommended that the Sub Committee should not </w:t>
      </w:r>
      <w:r w:rsidR="00A2552D">
        <w:rPr>
          <w:rFonts w:cs="Arial"/>
        </w:rPr>
        <w:t xml:space="preserve">add the </w:t>
      </w:r>
      <w:r>
        <w:rPr>
          <w:rFonts w:cs="Arial"/>
        </w:rPr>
        <w:t xml:space="preserve">Land to the register of town and village greens. </w:t>
      </w:r>
    </w:p>
    <w:p w:rsidR="00B66875" w:rsidRDefault="00B66875" w:rsidP="00B66875">
      <w:pPr>
        <w:rPr>
          <w:rFonts w:cs="Arial"/>
        </w:rPr>
      </w:pPr>
    </w:p>
    <w:p w:rsidR="003E6A45" w:rsidRDefault="003E6A45">
      <w:pPr>
        <w:pStyle w:val="Heading1"/>
      </w:pPr>
      <w:r>
        <w:t>Consultations</w:t>
      </w:r>
    </w:p>
    <w:p w:rsidR="003E6A45" w:rsidRDefault="003E6A45">
      <w:pPr>
        <w:pStyle w:val="Header"/>
      </w:pPr>
    </w:p>
    <w:p w:rsidR="00E1292E" w:rsidRDefault="0008399C" w:rsidP="00E1292E">
      <w:r>
        <w:t xml:space="preserve">In accordance with the </w:t>
      </w:r>
      <w:r w:rsidR="00527C64">
        <w:t xml:space="preserve">Directions the Registration Authority </w:t>
      </w:r>
      <w:r w:rsidR="00B66875">
        <w:t xml:space="preserve">duly </w:t>
      </w:r>
      <w:r w:rsidR="00527C64">
        <w:t>pub</w:t>
      </w:r>
      <w:r w:rsidR="00B66875">
        <w:t xml:space="preserve">lished a notice of the </w:t>
      </w:r>
      <w:r w:rsidR="00E1292E">
        <w:t xml:space="preserve">date, time and venue of the </w:t>
      </w:r>
      <w:r w:rsidR="00F16EFF">
        <w:t>H</w:t>
      </w:r>
      <w:r w:rsidR="00E1292E">
        <w:t xml:space="preserve">earing on its website </w:t>
      </w:r>
      <w:r w:rsidR="00F16EFF">
        <w:t xml:space="preserve">on </w:t>
      </w:r>
      <w:r w:rsidR="00146A00">
        <w:t xml:space="preserve">4 </w:t>
      </w:r>
      <w:r w:rsidR="00F16EFF">
        <w:t>March 2013</w:t>
      </w:r>
      <w:r w:rsidR="00E1292E">
        <w:t xml:space="preserve">, in the Chorley Guardian on </w:t>
      </w:r>
      <w:r w:rsidR="00F16EFF">
        <w:t xml:space="preserve">6 March </w:t>
      </w:r>
      <w:r w:rsidR="00E1292E">
        <w:t>201</w:t>
      </w:r>
      <w:r w:rsidR="00F16EFF">
        <w:t>3</w:t>
      </w:r>
      <w:r w:rsidR="00E1292E">
        <w:t xml:space="preserve"> and by post</w:t>
      </w:r>
      <w:r w:rsidR="00F16EFF">
        <w:t xml:space="preserve">ing </w:t>
      </w:r>
      <w:r w:rsidR="00E1292E">
        <w:t>two notices on Bradley La</w:t>
      </w:r>
      <w:r w:rsidR="00F16EFF">
        <w:t xml:space="preserve">ne near </w:t>
      </w:r>
      <w:proofErr w:type="gramStart"/>
      <w:r w:rsidR="00F16EFF">
        <w:t xml:space="preserve">the </w:t>
      </w:r>
      <w:r w:rsidR="00653230">
        <w:t xml:space="preserve"> </w:t>
      </w:r>
      <w:r w:rsidR="00A2552D">
        <w:t>L</w:t>
      </w:r>
      <w:r w:rsidR="00F16EFF">
        <w:t>and</w:t>
      </w:r>
      <w:proofErr w:type="gramEnd"/>
      <w:r w:rsidR="00F16EFF">
        <w:t xml:space="preserve"> and displaying the Notice at the Hearing venue. </w:t>
      </w:r>
    </w:p>
    <w:p w:rsidR="00F16EFF" w:rsidRDefault="00F16EFF" w:rsidP="00E1292E"/>
    <w:p w:rsidR="00772BBA" w:rsidRDefault="003E6A45" w:rsidP="00772BBA">
      <w:r>
        <w:rPr>
          <w:b/>
        </w:rPr>
        <w:t>Implications</w:t>
      </w:r>
      <w:r>
        <w:t xml:space="preserve">: </w:t>
      </w:r>
    </w:p>
    <w:p w:rsidR="00772BBA" w:rsidRDefault="00772BBA" w:rsidP="00772BBA"/>
    <w:p w:rsidR="0053514A" w:rsidRDefault="0053514A" w:rsidP="00772BBA">
      <w:r>
        <w:t>This item has the following implications, as indicated:</w:t>
      </w:r>
    </w:p>
    <w:p w:rsidR="0053514A" w:rsidRDefault="0053514A" w:rsidP="00772BBA"/>
    <w:p w:rsidR="009B61F1" w:rsidRDefault="00F16EFF" w:rsidP="00772BBA">
      <w:r>
        <w:t xml:space="preserve">Human Rights </w:t>
      </w:r>
    </w:p>
    <w:p w:rsidR="00F16EFF" w:rsidRDefault="00F16EFF" w:rsidP="00772BBA"/>
    <w:p w:rsidR="00F16EFF" w:rsidRDefault="00F16EFF" w:rsidP="00772BBA">
      <w:r>
        <w:t xml:space="preserve">Human Rights implications would only arise should it be determined to register the Land as a village green. In that scenario, Article One of the First Protocol to the European Convention of Human Rights is applicable which entitles everyone, including a company, to a right to the peaceful enjoyment of their property. If the Land is registered, the owners would be precluded from developing their Land. However, that must be balanced against the public interest in registering land as village greens where the local inhabitants have established their rights over that land to use it for recreational purposes in order to ensure the protection of such rights. </w:t>
      </w:r>
    </w:p>
    <w:p w:rsidR="00F16EFF" w:rsidRDefault="00F16EFF" w:rsidP="00772BBA"/>
    <w:p w:rsidR="00F16EFF" w:rsidRDefault="00F16EFF" w:rsidP="00772BBA">
      <w:r>
        <w:t xml:space="preserve">If the Land was not registered, that would result from it not being established that the Land was a village green in which case the local inhabitants would have any recreational rights over the Land that ought to be protected. There does not appear to be any human rights implications from the scenario. </w:t>
      </w:r>
    </w:p>
    <w:p w:rsidR="00F16EFF" w:rsidRDefault="00F16EFF" w:rsidP="00772BBA"/>
    <w:p w:rsidR="00A2552D" w:rsidRPr="001B4186" w:rsidRDefault="00A2552D" w:rsidP="00772BBA"/>
    <w:p w:rsidR="00772BBA" w:rsidRPr="00092B2F" w:rsidRDefault="00772BBA" w:rsidP="00772BBA">
      <w:pPr>
        <w:rPr>
          <w:b/>
        </w:rPr>
      </w:pPr>
      <w:r w:rsidRPr="00092B2F">
        <w:rPr>
          <w:b/>
        </w:rPr>
        <w:t>Risk management</w:t>
      </w:r>
    </w:p>
    <w:p w:rsidR="00772BBA" w:rsidRDefault="00772BBA" w:rsidP="00772BBA">
      <w:pPr>
        <w:pStyle w:val="Header"/>
      </w:pPr>
    </w:p>
    <w:p w:rsidR="008365F0" w:rsidRDefault="00241503" w:rsidP="00772BBA">
      <w:pPr>
        <w:pStyle w:val="Header"/>
      </w:pPr>
      <w:r>
        <w:t xml:space="preserve">The decision to be made by the Sub Committee could be subject to judicial challenge. </w:t>
      </w:r>
    </w:p>
    <w:p w:rsidR="00146A00" w:rsidRDefault="00146A00" w:rsidP="00772BBA">
      <w:pPr>
        <w:pStyle w:val="Header"/>
      </w:pPr>
    </w:p>
    <w:p w:rsidR="00146A00" w:rsidRDefault="00146A00" w:rsidP="00772BBA">
      <w:pPr>
        <w:pStyle w:val="Header"/>
      </w:pPr>
    </w:p>
    <w:p w:rsidR="00146A00" w:rsidRDefault="00146A00" w:rsidP="00772BBA">
      <w:pPr>
        <w:pStyle w:val="Header"/>
      </w:pPr>
    </w:p>
    <w:p w:rsidR="003E6A45" w:rsidRDefault="003E6A45">
      <w:pPr>
        <w:pStyle w:val="Heading5"/>
        <w:rPr>
          <w:rFonts w:ascii="Arial" w:hAnsi="Arial"/>
          <w:u w:val="none"/>
        </w:rPr>
      </w:pPr>
      <w:r>
        <w:rPr>
          <w:rFonts w:ascii="Arial" w:hAnsi="Arial"/>
          <w:u w:val="none"/>
        </w:rPr>
        <w:t>Local Government (Access to Information) Act 1985</w:t>
      </w:r>
    </w:p>
    <w:p w:rsidR="003E6A45" w:rsidRDefault="003E6A45">
      <w:pPr>
        <w:pStyle w:val="Heading5"/>
        <w:rPr>
          <w:rFonts w:ascii="Arial" w:hAnsi="Arial"/>
          <w:u w:val="none"/>
        </w:rPr>
      </w:pPr>
      <w:r>
        <w:rPr>
          <w:rFonts w:ascii="Arial" w:hAnsi="Arial"/>
          <w:u w:val="none"/>
        </w:rPr>
        <w:t>List of Background Papers</w:t>
      </w:r>
    </w:p>
    <w:p w:rsidR="003E6A45" w:rsidRDefault="003E6A45"/>
    <w:tbl>
      <w:tblPr>
        <w:tblW w:w="0" w:type="auto"/>
        <w:tblLayout w:type="fixed"/>
        <w:tblLook w:val="000C"/>
      </w:tblPr>
      <w:tblGrid>
        <w:gridCol w:w="3227"/>
        <w:gridCol w:w="2775"/>
        <w:gridCol w:w="3178"/>
      </w:tblGrid>
      <w:tr w:rsidR="003E6A45">
        <w:tc>
          <w:tcPr>
            <w:tcW w:w="3227" w:type="dxa"/>
          </w:tcPr>
          <w:p w:rsidR="003E6A45" w:rsidRDefault="003E6A45">
            <w:pPr>
              <w:pStyle w:val="Heading7"/>
              <w:rPr>
                <w:rFonts w:ascii="Arial" w:hAnsi="Arial"/>
                <w:u w:val="none"/>
              </w:rPr>
            </w:pPr>
            <w:r>
              <w:rPr>
                <w:rFonts w:ascii="Arial" w:hAnsi="Arial"/>
                <w:u w:val="none"/>
              </w:rPr>
              <w:t>Paper</w:t>
            </w:r>
          </w:p>
        </w:tc>
        <w:tc>
          <w:tcPr>
            <w:tcW w:w="2775" w:type="dxa"/>
          </w:tcPr>
          <w:p w:rsidR="003E6A45" w:rsidRDefault="003E6A45">
            <w:pPr>
              <w:pStyle w:val="Heading7"/>
              <w:rPr>
                <w:rFonts w:ascii="Arial" w:hAnsi="Arial"/>
                <w:u w:val="none"/>
              </w:rPr>
            </w:pPr>
            <w:r>
              <w:rPr>
                <w:rFonts w:ascii="Arial" w:hAnsi="Arial"/>
                <w:u w:val="none"/>
              </w:rPr>
              <w:t>Date</w:t>
            </w:r>
          </w:p>
        </w:tc>
        <w:tc>
          <w:tcPr>
            <w:tcW w:w="3178" w:type="dxa"/>
          </w:tcPr>
          <w:p w:rsidR="003E6A45" w:rsidRDefault="003E6A45">
            <w:pPr>
              <w:pStyle w:val="Heading7"/>
              <w:rPr>
                <w:rFonts w:ascii="Arial" w:hAnsi="Arial"/>
                <w:u w:val="none"/>
              </w:rPr>
            </w:pPr>
            <w:r>
              <w:rPr>
                <w:rFonts w:ascii="Arial" w:hAnsi="Arial"/>
                <w:u w:val="none"/>
              </w:rPr>
              <w:t>Contact/Directorate/</w:t>
            </w:r>
            <w:r w:rsidR="00772BBA">
              <w:rPr>
                <w:rFonts w:ascii="Arial" w:hAnsi="Arial"/>
                <w:u w:val="none"/>
              </w:rPr>
              <w:t>Tel</w:t>
            </w:r>
          </w:p>
        </w:tc>
      </w:tr>
      <w:tr w:rsidR="003E6A45">
        <w:tc>
          <w:tcPr>
            <w:tcW w:w="3227" w:type="dxa"/>
          </w:tcPr>
          <w:p w:rsidR="003E6A45" w:rsidRDefault="003E6A45">
            <w:pPr>
              <w:pStyle w:val="Heading7"/>
              <w:rPr>
                <w:rFonts w:ascii="Arial" w:hAnsi="Arial"/>
                <w:u w:val="none"/>
              </w:rPr>
            </w:pPr>
          </w:p>
          <w:p w:rsidR="00AB44C9" w:rsidRPr="00AB44C9" w:rsidRDefault="00024B8A" w:rsidP="00AB44C9">
            <w:r>
              <w:t>LSG4/RKA/3.645</w:t>
            </w:r>
            <w:r w:rsidR="00A82028">
              <w:t xml:space="preserve"> </w:t>
            </w:r>
          </w:p>
          <w:p w:rsidR="003E6A45" w:rsidRDefault="003E6A45"/>
        </w:tc>
        <w:tc>
          <w:tcPr>
            <w:tcW w:w="2775" w:type="dxa"/>
          </w:tcPr>
          <w:p w:rsidR="003E6A45" w:rsidRDefault="003E6A45">
            <w:pPr>
              <w:pStyle w:val="Heading7"/>
              <w:rPr>
                <w:rFonts w:ascii="Arial" w:hAnsi="Arial"/>
                <w:u w:val="none"/>
              </w:rPr>
            </w:pPr>
          </w:p>
          <w:p w:rsidR="003E6A45" w:rsidRDefault="00F16EFF" w:rsidP="00371D6C">
            <w:r>
              <w:t>1</w:t>
            </w:r>
            <w:r w:rsidR="00371D6C">
              <w:t>7</w:t>
            </w:r>
            <w:r w:rsidR="00241503">
              <w:t xml:space="preserve"> April </w:t>
            </w:r>
            <w:r w:rsidR="005F52A8">
              <w:t>2013</w:t>
            </w:r>
          </w:p>
        </w:tc>
        <w:tc>
          <w:tcPr>
            <w:tcW w:w="3178" w:type="dxa"/>
          </w:tcPr>
          <w:p w:rsidR="003E6A45" w:rsidRDefault="003E6A45"/>
          <w:p w:rsidR="00024B8A" w:rsidRDefault="00F16EFF" w:rsidP="00024B8A">
            <w:r>
              <w:t xml:space="preserve">Miss </w:t>
            </w:r>
            <w:r w:rsidR="00A82028">
              <w:t xml:space="preserve">Ravinder Amrith </w:t>
            </w:r>
          </w:p>
          <w:p w:rsidR="00024B8A" w:rsidRDefault="00024B8A" w:rsidP="00024B8A">
            <w:r>
              <w:t xml:space="preserve">Office of Chief Executive </w:t>
            </w:r>
          </w:p>
          <w:p w:rsidR="00024B8A" w:rsidRDefault="00024B8A" w:rsidP="00024B8A">
            <w:r>
              <w:t>01772 536098</w:t>
            </w:r>
          </w:p>
          <w:p w:rsidR="00024B8A" w:rsidRPr="00154576" w:rsidRDefault="009A4011" w:rsidP="00024B8A">
            <w:pPr>
              <w:rPr>
                <w:b/>
              </w:rPr>
            </w:pPr>
            <w:hyperlink r:id="rId9" w:history="1">
              <w:r w:rsidR="00024B8A" w:rsidRPr="00154576">
                <w:rPr>
                  <w:rStyle w:val="Hyperlink"/>
                  <w:b w:val="0"/>
                  <w:color w:val="auto"/>
                  <w:u w:val="none"/>
                </w:rPr>
                <w:t>ravinder.amrith@lancashire.gov.uk</w:t>
              </w:r>
            </w:hyperlink>
          </w:p>
          <w:p w:rsidR="003E6A45" w:rsidRDefault="003E6A45" w:rsidP="00A82028"/>
        </w:tc>
      </w:tr>
      <w:tr w:rsidR="003E6A45">
        <w:tc>
          <w:tcPr>
            <w:tcW w:w="9180" w:type="dxa"/>
            <w:gridSpan w:val="3"/>
          </w:tcPr>
          <w:p w:rsidR="003E6A45" w:rsidRDefault="003E6A45">
            <w:r>
              <w:t>Reason for inclusion in Part II, if appropriate</w:t>
            </w:r>
          </w:p>
        </w:tc>
      </w:tr>
    </w:tbl>
    <w:p w:rsidR="003E6A45" w:rsidRDefault="003E6A45"/>
    <w:p w:rsidR="00747D2A" w:rsidRDefault="00747D2A">
      <w:r>
        <w:t>N/A</w:t>
      </w:r>
    </w:p>
    <w:sectPr w:rsidR="00747D2A" w:rsidSect="00F62FAD">
      <w:footerReference w:type="default" r:id="rId10"/>
      <w:footerReference w:type="first" r:id="rId11"/>
      <w:type w:val="continuous"/>
      <w:pgSz w:w="11907" w:h="16840" w:code="9"/>
      <w:pgMar w:top="1440" w:right="1440" w:bottom="1440" w:left="1440" w:header="720" w:footer="306"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2E" w:rsidRDefault="00C0262E">
      <w:r>
        <w:separator/>
      </w:r>
    </w:p>
  </w:endnote>
  <w:endnote w:type="continuationSeparator" w:id="0">
    <w:p w:rsidR="00C0262E" w:rsidRDefault="00C02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C0262E">
      <w:tc>
        <w:tcPr>
          <w:tcW w:w="9243" w:type="dxa"/>
          <w:tcBorders>
            <w:top w:val="nil"/>
            <w:left w:val="nil"/>
            <w:bottom w:val="nil"/>
            <w:right w:val="nil"/>
          </w:tcBorders>
        </w:tcPr>
        <w:p w:rsidR="00C0262E" w:rsidRDefault="00C0262E">
          <w:pPr>
            <w:pStyle w:val="Footer"/>
            <w:tabs>
              <w:tab w:val="clear" w:pos="4153"/>
            </w:tabs>
            <w:ind w:right="-45"/>
            <w:jc w:val="right"/>
          </w:pPr>
        </w:p>
      </w:tc>
    </w:tr>
  </w:tbl>
  <w:p w:rsidR="00C0262E" w:rsidRDefault="00C0262E">
    <w:pPr>
      <w:pStyle w:val="Footer"/>
      <w:tabs>
        <w:tab w:val="clear" w:pos="4153"/>
      </w:tabs>
      <w:ind w:right="-45"/>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3"/>
    </w:tblGrid>
    <w:tr w:rsidR="00C0262E">
      <w:tc>
        <w:tcPr>
          <w:tcW w:w="9243" w:type="dxa"/>
          <w:tcBorders>
            <w:top w:val="nil"/>
            <w:left w:val="nil"/>
            <w:bottom w:val="nil"/>
            <w:right w:val="nil"/>
          </w:tcBorders>
        </w:tcPr>
        <w:p w:rsidR="00C0262E" w:rsidRDefault="00C0262E">
          <w:pPr>
            <w:pStyle w:val="Footer"/>
            <w:tabs>
              <w:tab w:val="clear" w:pos="4153"/>
            </w:tabs>
            <w:ind w:right="-45"/>
            <w:jc w:val="right"/>
          </w:pPr>
          <w:r>
            <w:rPr>
              <w:noProof/>
            </w:rPr>
            <w:drawing>
              <wp:inline distT="0" distB="0" distL="0" distR="0">
                <wp:extent cx="1238250" cy="619125"/>
                <wp:effectExtent l="19050" t="0" r="0" b="0"/>
                <wp:docPr id="5"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38250" cy="619125"/>
                        </a:xfrm>
                        <a:prstGeom prst="rect">
                          <a:avLst/>
                        </a:prstGeom>
                        <a:noFill/>
                        <a:ln w="9525">
                          <a:noFill/>
                          <a:miter lim="800000"/>
                          <a:headEnd/>
                          <a:tailEnd/>
                        </a:ln>
                      </pic:spPr>
                    </pic:pic>
                  </a:graphicData>
                </a:graphic>
              </wp:inline>
            </w:drawing>
          </w:r>
        </w:p>
      </w:tc>
    </w:tr>
  </w:tbl>
  <w:p w:rsidR="00C0262E" w:rsidRDefault="00C0262E">
    <w:pPr>
      <w:pStyle w:val="Footer"/>
      <w:tabs>
        <w:tab w:val="clear" w:pos="4153"/>
      </w:tabs>
      <w:ind w:right="-4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2E" w:rsidRDefault="00C0262E">
      <w:r>
        <w:separator/>
      </w:r>
    </w:p>
  </w:footnote>
  <w:footnote w:type="continuationSeparator" w:id="0">
    <w:p w:rsidR="00C0262E" w:rsidRDefault="00C026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nsid w:val="08AF4879"/>
    <w:multiLevelType w:val="hybridMultilevel"/>
    <w:tmpl w:val="11E4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66B8B"/>
    <w:multiLevelType w:val="hybridMultilevel"/>
    <w:tmpl w:val="2070E3A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A07420D"/>
    <w:multiLevelType w:val="hybridMultilevel"/>
    <w:tmpl w:val="B650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2C0882"/>
    <w:multiLevelType w:val="multilevel"/>
    <w:tmpl w:val="4992BA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81EDC"/>
    <w:multiLevelType w:val="multilevel"/>
    <w:tmpl w:val="A1D60E64"/>
    <w:lvl w:ilvl="0">
      <w:start w:val="1"/>
      <w:numFmt w:val="decimal"/>
      <w:lvlText w:val="%1."/>
      <w:lvlJc w:val="left"/>
      <w:pPr>
        <w:ind w:left="720" w:hanging="360"/>
      </w:pPr>
      <w:rPr>
        <w:rFonts w:cs="Times New Roman" w:hint="default"/>
      </w:rPr>
    </w:lvl>
    <w:lvl w:ilvl="1">
      <w:start w:val="1"/>
      <w:numFmt w:val="decimal"/>
      <w:isLgl/>
      <w:lvlText w:val="%1.%2"/>
      <w:lvlJc w:val="left"/>
      <w:pPr>
        <w:ind w:left="816" w:hanging="39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5">
    <w:nsid w:val="22780FA0"/>
    <w:multiLevelType w:val="multilevel"/>
    <w:tmpl w:val="59D2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171B93"/>
    <w:multiLevelType w:val="hybridMultilevel"/>
    <w:tmpl w:val="7AFA5CF0"/>
    <w:lvl w:ilvl="0" w:tplc="BB36826A">
      <w:start w:val="1"/>
      <w:numFmt w:val="lowerRoman"/>
      <w:lvlText w:val="(%1)"/>
      <w:lvlJc w:val="left"/>
      <w:pPr>
        <w:tabs>
          <w:tab w:val="num" w:pos="2259"/>
        </w:tabs>
        <w:ind w:left="2259" w:hanging="1125"/>
      </w:pPr>
      <w:rPr>
        <w:rFonts w:hint="default"/>
      </w:rPr>
    </w:lvl>
    <w:lvl w:ilvl="1" w:tplc="08090019" w:tentative="1">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7">
    <w:nsid w:val="30EE5FB9"/>
    <w:multiLevelType w:val="hybridMultilevel"/>
    <w:tmpl w:val="0CC0A19E"/>
    <w:lvl w:ilvl="0" w:tplc="CDEC93B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4D200DF3"/>
    <w:multiLevelType w:val="hybridMultilevel"/>
    <w:tmpl w:val="50588FDA"/>
    <w:lvl w:ilvl="0" w:tplc="18B4191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A4024FA"/>
    <w:multiLevelType w:val="multilevel"/>
    <w:tmpl w:val="D6C4C12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5EB22482"/>
    <w:multiLevelType w:val="hybridMultilevel"/>
    <w:tmpl w:val="6F9ACA8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
  </w:num>
  <w:num w:numId="3">
    <w:abstractNumId w:val="0"/>
  </w:num>
  <w:num w:numId="4">
    <w:abstractNumId w:val="2"/>
  </w:num>
  <w:num w:numId="5">
    <w:abstractNumId w:val="5"/>
  </w:num>
  <w:num w:numId="6">
    <w:abstractNumId w:val="3"/>
  </w:num>
  <w:num w:numId="7">
    <w:abstractNumId w:val="7"/>
  </w:num>
  <w:num w:numId="8">
    <w:abstractNumId w:val="4"/>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rsids>
    <w:rsidRoot w:val="003E6A45"/>
    <w:rsid w:val="000010B0"/>
    <w:rsid w:val="00005504"/>
    <w:rsid w:val="00021145"/>
    <w:rsid w:val="0002311A"/>
    <w:rsid w:val="00024B8A"/>
    <w:rsid w:val="000340F8"/>
    <w:rsid w:val="00034B18"/>
    <w:rsid w:val="00040EC7"/>
    <w:rsid w:val="00044FF1"/>
    <w:rsid w:val="000508F1"/>
    <w:rsid w:val="00054426"/>
    <w:rsid w:val="0008399C"/>
    <w:rsid w:val="00092B2F"/>
    <w:rsid w:val="0009598F"/>
    <w:rsid w:val="000A2291"/>
    <w:rsid w:val="000A6F1D"/>
    <w:rsid w:val="000B2AE4"/>
    <w:rsid w:val="000C7414"/>
    <w:rsid w:val="000E4B7C"/>
    <w:rsid w:val="000F157F"/>
    <w:rsid w:val="000F6DEC"/>
    <w:rsid w:val="000F7AF6"/>
    <w:rsid w:val="001014A4"/>
    <w:rsid w:val="00113AEC"/>
    <w:rsid w:val="00114CEA"/>
    <w:rsid w:val="001210B4"/>
    <w:rsid w:val="00133F77"/>
    <w:rsid w:val="001340D9"/>
    <w:rsid w:val="00134546"/>
    <w:rsid w:val="00146A00"/>
    <w:rsid w:val="00154576"/>
    <w:rsid w:val="00167414"/>
    <w:rsid w:val="00196F9C"/>
    <w:rsid w:val="001B3479"/>
    <w:rsid w:val="001B4186"/>
    <w:rsid w:val="001C4DCE"/>
    <w:rsid w:val="001E65E7"/>
    <w:rsid w:val="0020082F"/>
    <w:rsid w:val="00200CF9"/>
    <w:rsid w:val="00203E5C"/>
    <w:rsid w:val="002048AF"/>
    <w:rsid w:val="0020619E"/>
    <w:rsid w:val="00206A82"/>
    <w:rsid w:val="00211FA3"/>
    <w:rsid w:val="00217095"/>
    <w:rsid w:val="00217644"/>
    <w:rsid w:val="00222350"/>
    <w:rsid w:val="00224775"/>
    <w:rsid w:val="00231648"/>
    <w:rsid w:val="00234A84"/>
    <w:rsid w:val="00241503"/>
    <w:rsid w:val="00254349"/>
    <w:rsid w:val="00264648"/>
    <w:rsid w:val="00267037"/>
    <w:rsid w:val="00272922"/>
    <w:rsid w:val="0028461B"/>
    <w:rsid w:val="00291A28"/>
    <w:rsid w:val="0029346B"/>
    <w:rsid w:val="00294967"/>
    <w:rsid w:val="002B05AE"/>
    <w:rsid w:val="002B11AF"/>
    <w:rsid w:val="002B397D"/>
    <w:rsid w:val="002B5DEF"/>
    <w:rsid w:val="002C323C"/>
    <w:rsid w:val="002F1041"/>
    <w:rsid w:val="002F5B7E"/>
    <w:rsid w:val="00300C5E"/>
    <w:rsid w:val="00320240"/>
    <w:rsid w:val="00320F08"/>
    <w:rsid w:val="00322601"/>
    <w:rsid w:val="0032578C"/>
    <w:rsid w:val="003325F3"/>
    <w:rsid w:val="003438FB"/>
    <w:rsid w:val="00347064"/>
    <w:rsid w:val="00354CAC"/>
    <w:rsid w:val="00357954"/>
    <w:rsid w:val="00361F56"/>
    <w:rsid w:val="003651DF"/>
    <w:rsid w:val="0037126D"/>
    <w:rsid w:val="00371D6C"/>
    <w:rsid w:val="00373857"/>
    <w:rsid w:val="0037580B"/>
    <w:rsid w:val="00385802"/>
    <w:rsid w:val="003B214C"/>
    <w:rsid w:val="003B693D"/>
    <w:rsid w:val="003C056B"/>
    <w:rsid w:val="003D1269"/>
    <w:rsid w:val="003D31D6"/>
    <w:rsid w:val="003D5DE7"/>
    <w:rsid w:val="003D6D3A"/>
    <w:rsid w:val="003E0E0A"/>
    <w:rsid w:val="003E3236"/>
    <w:rsid w:val="003E3316"/>
    <w:rsid w:val="003E6A45"/>
    <w:rsid w:val="004066EB"/>
    <w:rsid w:val="004111AF"/>
    <w:rsid w:val="0044710C"/>
    <w:rsid w:val="00466886"/>
    <w:rsid w:val="004670B7"/>
    <w:rsid w:val="00480020"/>
    <w:rsid w:val="004972DD"/>
    <w:rsid w:val="004A1B19"/>
    <w:rsid w:val="004B4120"/>
    <w:rsid w:val="004B5C7E"/>
    <w:rsid w:val="004D1D52"/>
    <w:rsid w:val="004D3F8C"/>
    <w:rsid w:val="004D7824"/>
    <w:rsid w:val="004E068B"/>
    <w:rsid w:val="005002CE"/>
    <w:rsid w:val="00502D22"/>
    <w:rsid w:val="00527C64"/>
    <w:rsid w:val="0053514A"/>
    <w:rsid w:val="00547442"/>
    <w:rsid w:val="0055089F"/>
    <w:rsid w:val="00551773"/>
    <w:rsid w:val="00564140"/>
    <w:rsid w:val="00564B92"/>
    <w:rsid w:val="00566288"/>
    <w:rsid w:val="00571271"/>
    <w:rsid w:val="00575DF9"/>
    <w:rsid w:val="00581BB4"/>
    <w:rsid w:val="005823AA"/>
    <w:rsid w:val="00595F15"/>
    <w:rsid w:val="005A604C"/>
    <w:rsid w:val="005A6E2C"/>
    <w:rsid w:val="005B179B"/>
    <w:rsid w:val="005B4D78"/>
    <w:rsid w:val="005B5754"/>
    <w:rsid w:val="005B5B82"/>
    <w:rsid w:val="005D47CC"/>
    <w:rsid w:val="005D4E79"/>
    <w:rsid w:val="005D6372"/>
    <w:rsid w:val="005D64E3"/>
    <w:rsid w:val="005F3CAF"/>
    <w:rsid w:val="005F4D69"/>
    <w:rsid w:val="005F52A8"/>
    <w:rsid w:val="00600942"/>
    <w:rsid w:val="00601902"/>
    <w:rsid w:val="00601FA6"/>
    <w:rsid w:val="00603652"/>
    <w:rsid w:val="006037AF"/>
    <w:rsid w:val="00605A84"/>
    <w:rsid w:val="00616D16"/>
    <w:rsid w:val="00621B00"/>
    <w:rsid w:val="00625448"/>
    <w:rsid w:val="00625816"/>
    <w:rsid w:val="0062758C"/>
    <w:rsid w:val="006305A1"/>
    <w:rsid w:val="0065282D"/>
    <w:rsid w:val="00653230"/>
    <w:rsid w:val="00656690"/>
    <w:rsid w:val="00663464"/>
    <w:rsid w:val="00674E4D"/>
    <w:rsid w:val="00676811"/>
    <w:rsid w:val="006A5390"/>
    <w:rsid w:val="006B2817"/>
    <w:rsid w:val="006B48EF"/>
    <w:rsid w:val="006B7949"/>
    <w:rsid w:val="006C09D9"/>
    <w:rsid w:val="006C34D2"/>
    <w:rsid w:val="006D2A64"/>
    <w:rsid w:val="006D3798"/>
    <w:rsid w:val="006F00C0"/>
    <w:rsid w:val="0070575F"/>
    <w:rsid w:val="00716F8D"/>
    <w:rsid w:val="0073233A"/>
    <w:rsid w:val="00747D2A"/>
    <w:rsid w:val="00751A52"/>
    <w:rsid w:val="0075384F"/>
    <w:rsid w:val="00753EF1"/>
    <w:rsid w:val="007616A9"/>
    <w:rsid w:val="00762CEE"/>
    <w:rsid w:val="00772BBA"/>
    <w:rsid w:val="00775DF2"/>
    <w:rsid w:val="0077764B"/>
    <w:rsid w:val="00790B51"/>
    <w:rsid w:val="007A4A9F"/>
    <w:rsid w:val="007A6333"/>
    <w:rsid w:val="007A7710"/>
    <w:rsid w:val="007B711A"/>
    <w:rsid w:val="007C2B31"/>
    <w:rsid w:val="007D757B"/>
    <w:rsid w:val="007E18E4"/>
    <w:rsid w:val="007E553E"/>
    <w:rsid w:val="007E7730"/>
    <w:rsid w:val="007E7A9F"/>
    <w:rsid w:val="007F431F"/>
    <w:rsid w:val="0081676B"/>
    <w:rsid w:val="00830A12"/>
    <w:rsid w:val="008365F0"/>
    <w:rsid w:val="0086671B"/>
    <w:rsid w:val="008959E5"/>
    <w:rsid w:val="008A5E88"/>
    <w:rsid w:val="008A7C16"/>
    <w:rsid w:val="008B7C9E"/>
    <w:rsid w:val="008D6506"/>
    <w:rsid w:val="008D7BB5"/>
    <w:rsid w:val="008D7D92"/>
    <w:rsid w:val="008D7EC0"/>
    <w:rsid w:val="008F6E27"/>
    <w:rsid w:val="009174AD"/>
    <w:rsid w:val="00920649"/>
    <w:rsid w:val="00920956"/>
    <w:rsid w:val="009267CD"/>
    <w:rsid w:val="00932F98"/>
    <w:rsid w:val="0093784A"/>
    <w:rsid w:val="00937ED4"/>
    <w:rsid w:val="00943EE0"/>
    <w:rsid w:val="00950398"/>
    <w:rsid w:val="009626B9"/>
    <w:rsid w:val="00963A37"/>
    <w:rsid w:val="009A06FE"/>
    <w:rsid w:val="009A4011"/>
    <w:rsid w:val="009B118D"/>
    <w:rsid w:val="009B3418"/>
    <w:rsid w:val="009B4217"/>
    <w:rsid w:val="009B61F1"/>
    <w:rsid w:val="009C0A4C"/>
    <w:rsid w:val="009C2A49"/>
    <w:rsid w:val="009C3764"/>
    <w:rsid w:val="009D1374"/>
    <w:rsid w:val="009D3B00"/>
    <w:rsid w:val="009E0A88"/>
    <w:rsid w:val="009E1227"/>
    <w:rsid w:val="009E459F"/>
    <w:rsid w:val="00A022EE"/>
    <w:rsid w:val="00A06E80"/>
    <w:rsid w:val="00A1335F"/>
    <w:rsid w:val="00A15654"/>
    <w:rsid w:val="00A15FE2"/>
    <w:rsid w:val="00A2552D"/>
    <w:rsid w:val="00A31BC5"/>
    <w:rsid w:val="00A3334B"/>
    <w:rsid w:val="00A401AE"/>
    <w:rsid w:val="00A40A0D"/>
    <w:rsid w:val="00A4339B"/>
    <w:rsid w:val="00A47623"/>
    <w:rsid w:val="00A51A55"/>
    <w:rsid w:val="00A54E5D"/>
    <w:rsid w:val="00A550B8"/>
    <w:rsid w:val="00A57AAF"/>
    <w:rsid w:val="00A7453C"/>
    <w:rsid w:val="00A82028"/>
    <w:rsid w:val="00A83EE8"/>
    <w:rsid w:val="00A86DB0"/>
    <w:rsid w:val="00A93171"/>
    <w:rsid w:val="00AA16D5"/>
    <w:rsid w:val="00AA4355"/>
    <w:rsid w:val="00AB1A7D"/>
    <w:rsid w:val="00AB44C9"/>
    <w:rsid w:val="00AB707B"/>
    <w:rsid w:val="00AC3862"/>
    <w:rsid w:val="00AF5521"/>
    <w:rsid w:val="00B068A6"/>
    <w:rsid w:val="00B10F07"/>
    <w:rsid w:val="00B15475"/>
    <w:rsid w:val="00B23CF2"/>
    <w:rsid w:val="00B34BF2"/>
    <w:rsid w:val="00B37503"/>
    <w:rsid w:val="00B564AA"/>
    <w:rsid w:val="00B56F58"/>
    <w:rsid w:val="00B64112"/>
    <w:rsid w:val="00B66875"/>
    <w:rsid w:val="00B67789"/>
    <w:rsid w:val="00B74543"/>
    <w:rsid w:val="00B776D3"/>
    <w:rsid w:val="00BB08CC"/>
    <w:rsid w:val="00BE3637"/>
    <w:rsid w:val="00BF1590"/>
    <w:rsid w:val="00C0262E"/>
    <w:rsid w:val="00C03CDE"/>
    <w:rsid w:val="00C20DC0"/>
    <w:rsid w:val="00C30550"/>
    <w:rsid w:val="00C325B5"/>
    <w:rsid w:val="00C42CEF"/>
    <w:rsid w:val="00C46D38"/>
    <w:rsid w:val="00C614FB"/>
    <w:rsid w:val="00C71F9F"/>
    <w:rsid w:val="00C8008E"/>
    <w:rsid w:val="00C917A2"/>
    <w:rsid w:val="00CA42F4"/>
    <w:rsid w:val="00CA67F7"/>
    <w:rsid w:val="00CD5239"/>
    <w:rsid w:val="00CD5D8E"/>
    <w:rsid w:val="00CE2F7A"/>
    <w:rsid w:val="00CE3040"/>
    <w:rsid w:val="00CF1446"/>
    <w:rsid w:val="00CF3D33"/>
    <w:rsid w:val="00CF6F47"/>
    <w:rsid w:val="00D1077F"/>
    <w:rsid w:val="00D207FD"/>
    <w:rsid w:val="00D316DC"/>
    <w:rsid w:val="00D33F57"/>
    <w:rsid w:val="00D52008"/>
    <w:rsid w:val="00D5513D"/>
    <w:rsid w:val="00D56CF0"/>
    <w:rsid w:val="00D679DE"/>
    <w:rsid w:val="00D83261"/>
    <w:rsid w:val="00D83C11"/>
    <w:rsid w:val="00D92C86"/>
    <w:rsid w:val="00DA236A"/>
    <w:rsid w:val="00DA3790"/>
    <w:rsid w:val="00DB67E6"/>
    <w:rsid w:val="00DC0EA5"/>
    <w:rsid w:val="00DC1741"/>
    <w:rsid w:val="00DC6E9D"/>
    <w:rsid w:val="00DD1E7E"/>
    <w:rsid w:val="00DF19A7"/>
    <w:rsid w:val="00DF1A79"/>
    <w:rsid w:val="00E03386"/>
    <w:rsid w:val="00E1292E"/>
    <w:rsid w:val="00E15312"/>
    <w:rsid w:val="00E22B7A"/>
    <w:rsid w:val="00E24915"/>
    <w:rsid w:val="00E25A16"/>
    <w:rsid w:val="00E33620"/>
    <w:rsid w:val="00E61B9A"/>
    <w:rsid w:val="00E6773F"/>
    <w:rsid w:val="00E714D3"/>
    <w:rsid w:val="00E846E6"/>
    <w:rsid w:val="00E85B14"/>
    <w:rsid w:val="00E85B80"/>
    <w:rsid w:val="00EA45E5"/>
    <w:rsid w:val="00EA6A0F"/>
    <w:rsid w:val="00EB1037"/>
    <w:rsid w:val="00EB674B"/>
    <w:rsid w:val="00EB7A77"/>
    <w:rsid w:val="00EC2704"/>
    <w:rsid w:val="00EC76BF"/>
    <w:rsid w:val="00ED397D"/>
    <w:rsid w:val="00ED5634"/>
    <w:rsid w:val="00EE6226"/>
    <w:rsid w:val="00EE62BB"/>
    <w:rsid w:val="00EE7118"/>
    <w:rsid w:val="00EF2689"/>
    <w:rsid w:val="00EF73AF"/>
    <w:rsid w:val="00F038DD"/>
    <w:rsid w:val="00F12A95"/>
    <w:rsid w:val="00F1359A"/>
    <w:rsid w:val="00F16EFF"/>
    <w:rsid w:val="00F208D1"/>
    <w:rsid w:val="00F4109B"/>
    <w:rsid w:val="00F62FAD"/>
    <w:rsid w:val="00F63729"/>
    <w:rsid w:val="00F67C05"/>
    <w:rsid w:val="00F70ED1"/>
    <w:rsid w:val="00F71E2E"/>
    <w:rsid w:val="00F734E3"/>
    <w:rsid w:val="00F768BF"/>
    <w:rsid w:val="00F90D26"/>
    <w:rsid w:val="00F910FE"/>
    <w:rsid w:val="00F9408E"/>
    <w:rsid w:val="00FA2FA4"/>
    <w:rsid w:val="00FA41F2"/>
    <w:rsid w:val="00FA5312"/>
    <w:rsid w:val="00FD78EA"/>
    <w:rsid w:val="00FE0FCE"/>
    <w:rsid w:val="00FE20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FAD"/>
    <w:rPr>
      <w:rFonts w:ascii="Arial" w:hAnsi="Arial"/>
      <w:sz w:val="24"/>
    </w:rPr>
  </w:style>
  <w:style w:type="paragraph" w:styleId="Heading1">
    <w:name w:val="heading 1"/>
    <w:basedOn w:val="Normal"/>
    <w:next w:val="Normal"/>
    <w:link w:val="Heading1Char"/>
    <w:uiPriority w:val="9"/>
    <w:qFormat/>
    <w:rsid w:val="00F62FAD"/>
    <w:pPr>
      <w:keepNext/>
      <w:outlineLvl w:val="0"/>
    </w:pPr>
    <w:rPr>
      <w:b/>
    </w:rPr>
  </w:style>
  <w:style w:type="paragraph" w:styleId="Heading5">
    <w:name w:val="heading 5"/>
    <w:basedOn w:val="Normal"/>
    <w:next w:val="Normal"/>
    <w:link w:val="Heading5Char"/>
    <w:uiPriority w:val="9"/>
    <w:qFormat/>
    <w:rsid w:val="00F62FAD"/>
    <w:pPr>
      <w:keepNext/>
      <w:outlineLvl w:val="4"/>
    </w:pPr>
    <w:rPr>
      <w:rFonts w:ascii="Univers" w:hAnsi="Univers"/>
      <w:b/>
      <w:u w:val="single"/>
    </w:rPr>
  </w:style>
  <w:style w:type="paragraph" w:styleId="Heading6">
    <w:name w:val="heading 6"/>
    <w:basedOn w:val="Normal"/>
    <w:next w:val="Normal"/>
    <w:link w:val="Heading6Char"/>
    <w:uiPriority w:val="9"/>
    <w:qFormat/>
    <w:rsid w:val="00F62FAD"/>
    <w:pPr>
      <w:keepNext/>
      <w:outlineLvl w:val="5"/>
    </w:pPr>
    <w:rPr>
      <w:rFonts w:ascii="Univers" w:hAnsi="Univers"/>
      <w:b/>
    </w:rPr>
  </w:style>
  <w:style w:type="paragraph" w:styleId="Heading7">
    <w:name w:val="heading 7"/>
    <w:basedOn w:val="Normal"/>
    <w:next w:val="Normal"/>
    <w:link w:val="Heading7Char"/>
    <w:uiPriority w:val="9"/>
    <w:qFormat/>
    <w:rsid w:val="00F62FAD"/>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62FAD"/>
    <w:rPr>
      <w:rFonts w:asciiTheme="majorHAnsi" w:eastAsiaTheme="majorEastAsia" w:hAnsiTheme="majorHAnsi" w:cstheme="majorBidi"/>
      <w:b/>
      <w:bCs/>
      <w:kern w:val="32"/>
      <w:sz w:val="32"/>
      <w:szCs w:val="32"/>
    </w:rPr>
  </w:style>
  <w:style w:type="character" w:customStyle="1" w:styleId="Heading5Char">
    <w:name w:val="Heading 5 Char"/>
    <w:basedOn w:val="DefaultParagraphFont"/>
    <w:link w:val="Heading5"/>
    <w:uiPriority w:val="9"/>
    <w:semiHidden/>
    <w:locked/>
    <w:rsid w:val="00F62FA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locked/>
    <w:rsid w:val="00F62FA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locked/>
    <w:rsid w:val="00F62FAD"/>
    <w:rPr>
      <w:rFonts w:asciiTheme="minorHAnsi" w:eastAsiaTheme="minorEastAsia" w:hAnsiTheme="minorHAnsi" w:cstheme="minorBidi"/>
      <w:sz w:val="24"/>
      <w:szCs w:val="24"/>
    </w:rPr>
  </w:style>
  <w:style w:type="paragraph" w:styleId="Header">
    <w:name w:val="header"/>
    <w:basedOn w:val="Normal"/>
    <w:link w:val="HeaderChar"/>
    <w:uiPriority w:val="99"/>
    <w:rsid w:val="00F62FAD"/>
  </w:style>
  <w:style w:type="character" w:customStyle="1" w:styleId="HeaderChar">
    <w:name w:val="Header Char"/>
    <w:basedOn w:val="DefaultParagraphFont"/>
    <w:link w:val="Header"/>
    <w:uiPriority w:val="99"/>
    <w:semiHidden/>
    <w:locked/>
    <w:rsid w:val="00F62FAD"/>
    <w:rPr>
      <w:rFonts w:ascii="Arial" w:hAnsi="Arial" w:cs="Times New Roman"/>
      <w:sz w:val="24"/>
    </w:rPr>
  </w:style>
  <w:style w:type="paragraph" w:customStyle="1" w:styleId="arial11">
    <w:name w:val="arial11"/>
    <w:basedOn w:val="Normal"/>
    <w:rsid w:val="00F62FAD"/>
  </w:style>
  <w:style w:type="paragraph" w:styleId="BodyText">
    <w:name w:val="Body Text"/>
    <w:basedOn w:val="Normal"/>
    <w:link w:val="BodyTextChar"/>
    <w:uiPriority w:val="99"/>
    <w:rsid w:val="00F62FAD"/>
  </w:style>
  <w:style w:type="character" w:customStyle="1" w:styleId="BodyTextChar">
    <w:name w:val="Body Text Char"/>
    <w:basedOn w:val="DefaultParagraphFont"/>
    <w:link w:val="BodyText"/>
    <w:uiPriority w:val="99"/>
    <w:semiHidden/>
    <w:locked/>
    <w:rsid w:val="00F62FAD"/>
    <w:rPr>
      <w:rFonts w:ascii="Arial" w:hAnsi="Arial" w:cs="Times New Roman"/>
      <w:sz w:val="24"/>
    </w:rPr>
  </w:style>
  <w:style w:type="paragraph" w:styleId="Footer">
    <w:name w:val="footer"/>
    <w:basedOn w:val="Normal"/>
    <w:link w:val="FooterChar"/>
    <w:uiPriority w:val="99"/>
    <w:rsid w:val="00F62FAD"/>
    <w:pPr>
      <w:tabs>
        <w:tab w:val="center" w:pos="4153"/>
        <w:tab w:val="right" w:pos="8306"/>
      </w:tabs>
    </w:pPr>
  </w:style>
  <w:style w:type="character" w:customStyle="1" w:styleId="FooterChar">
    <w:name w:val="Footer Char"/>
    <w:basedOn w:val="DefaultParagraphFont"/>
    <w:link w:val="Footer"/>
    <w:uiPriority w:val="99"/>
    <w:semiHidden/>
    <w:locked/>
    <w:rsid w:val="00F62FAD"/>
    <w:rPr>
      <w:rFonts w:ascii="Arial" w:hAnsi="Arial" w:cs="Times New Roman"/>
      <w:sz w:val="24"/>
    </w:rPr>
  </w:style>
  <w:style w:type="character" w:styleId="PageNumber">
    <w:name w:val="page number"/>
    <w:basedOn w:val="DefaultParagraphFont"/>
    <w:uiPriority w:val="99"/>
    <w:rsid w:val="00F62FAD"/>
    <w:rPr>
      <w:rFonts w:cs="Times New Roman"/>
    </w:rPr>
  </w:style>
  <w:style w:type="paragraph" w:styleId="BalloonText">
    <w:name w:val="Balloon Text"/>
    <w:basedOn w:val="Normal"/>
    <w:link w:val="BalloonTextChar"/>
    <w:uiPriority w:val="99"/>
    <w:semiHidden/>
    <w:rsid w:val="0035795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2FAD"/>
    <w:rPr>
      <w:rFonts w:ascii="Tahoma" w:hAnsi="Tahoma" w:cs="Tahoma"/>
      <w:sz w:val="16"/>
      <w:szCs w:val="16"/>
    </w:rPr>
  </w:style>
  <w:style w:type="character" w:customStyle="1" w:styleId="spelle">
    <w:name w:val="spelle"/>
    <w:basedOn w:val="DefaultParagraphFont"/>
    <w:rsid w:val="0065282D"/>
    <w:rPr>
      <w:rFonts w:cs="Times New Roman"/>
    </w:rPr>
  </w:style>
  <w:style w:type="character" w:styleId="Hyperlink">
    <w:name w:val="Hyperlink"/>
    <w:basedOn w:val="DefaultParagraphFont"/>
    <w:uiPriority w:val="99"/>
    <w:unhideWhenUsed/>
    <w:rsid w:val="00A31BC5"/>
    <w:rPr>
      <w:rFonts w:cs="Times New Roman"/>
      <w:b/>
      <w:bCs/>
      <w:color w:val="032386"/>
      <w:u w:val="single"/>
    </w:rPr>
  </w:style>
  <w:style w:type="paragraph" w:styleId="NormalWeb">
    <w:name w:val="Normal (Web)"/>
    <w:basedOn w:val="Normal"/>
    <w:uiPriority w:val="99"/>
    <w:unhideWhenUsed/>
    <w:rsid w:val="00A31BC5"/>
    <w:pPr>
      <w:spacing w:before="100" w:beforeAutospacing="1" w:after="100" w:afterAutospacing="1"/>
    </w:pPr>
    <w:rPr>
      <w:rFonts w:ascii="Times New Roman" w:hAnsi="Times New Roman"/>
      <w:szCs w:val="24"/>
    </w:rPr>
  </w:style>
  <w:style w:type="paragraph" w:customStyle="1" w:styleId="Default">
    <w:name w:val="Default"/>
    <w:rsid w:val="000A2291"/>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B5DEF"/>
    <w:rPr>
      <w:rFonts w:cs="Times New Roman"/>
      <w:sz w:val="16"/>
      <w:szCs w:val="16"/>
    </w:rPr>
  </w:style>
  <w:style w:type="paragraph" w:styleId="CommentText">
    <w:name w:val="annotation text"/>
    <w:basedOn w:val="Normal"/>
    <w:link w:val="CommentTextChar"/>
    <w:uiPriority w:val="99"/>
    <w:semiHidden/>
    <w:unhideWhenUsed/>
    <w:rsid w:val="002B5DEF"/>
    <w:rPr>
      <w:sz w:val="20"/>
    </w:rPr>
  </w:style>
  <w:style w:type="character" w:customStyle="1" w:styleId="CommentTextChar">
    <w:name w:val="Comment Text Char"/>
    <w:basedOn w:val="DefaultParagraphFont"/>
    <w:link w:val="CommentText"/>
    <w:uiPriority w:val="99"/>
    <w:semiHidden/>
    <w:locked/>
    <w:rsid w:val="002B5DEF"/>
    <w:rPr>
      <w:rFonts w:ascii="Arial" w:hAnsi="Arial" w:cs="Times New Roman"/>
    </w:rPr>
  </w:style>
  <w:style w:type="paragraph" w:styleId="CommentSubject">
    <w:name w:val="annotation subject"/>
    <w:basedOn w:val="CommentText"/>
    <w:next w:val="CommentText"/>
    <w:link w:val="CommentSubjectChar"/>
    <w:uiPriority w:val="99"/>
    <w:semiHidden/>
    <w:unhideWhenUsed/>
    <w:rsid w:val="002B5DEF"/>
    <w:rPr>
      <w:b/>
      <w:bCs/>
    </w:rPr>
  </w:style>
  <w:style w:type="character" w:customStyle="1" w:styleId="CommentSubjectChar">
    <w:name w:val="Comment Subject Char"/>
    <w:basedOn w:val="CommentTextChar"/>
    <w:link w:val="CommentSubject"/>
    <w:uiPriority w:val="99"/>
    <w:semiHidden/>
    <w:locked/>
    <w:rsid w:val="002B5DEF"/>
    <w:rPr>
      <w:b/>
      <w:bCs/>
    </w:rPr>
  </w:style>
  <w:style w:type="paragraph" w:styleId="ListParagraph">
    <w:name w:val="List Paragraph"/>
    <w:basedOn w:val="Normal"/>
    <w:uiPriority w:val="34"/>
    <w:qFormat/>
    <w:rsid w:val="00D52008"/>
    <w:pPr>
      <w:spacing w:after="200" w:line="276" w:lineRule="auto"/>
      <w:ind w:left="720"/>
      <w:contextualSpacing/>
    </w:pPr>
    <w:rPr>
      <w:szCs w:val="22"/>
      <w:lang w:eastAsia="en-US"/>
    </w:rPr>
  </w:style>
</w:styles>
</file>

<file path=word/webSettings.xml><?xml version="1.0" encoding="utf-8"?>
<w:webSettings xmlns:r="http://schemas.openxmlformats.org/officeDocument/2006/relationships" xmlns:w="http://schemas.openxmlformats.org/wordprocessingml/2006/main">
  <w:divs>
    <w:div w:id="117770526">
      <w:marLeft w:val="0"/>
      <w:marRight w:val="0"/>
      <w:marTop w:val="0"/>
      <w:marBottom w:val="0"/>
      <w:divBdr>
        <w:top w:val="none" w:sz="0" w:space="0" w:color="auto"/>
        <w:left w:val="none" w:sz="0" w:space="0" w:color="auto"/>
        <w:bottom w:val="none" w:sz="0" w:space="0" w:color="auto"/>
        <w:right w:val="none" w:sz="0" w:space="0" w:color="auto"/>
      </w:divBdr>
    </w:div>
    <w:div w:id="117770530">
      <w:marLeft w:val="0"/>
      <w:marRight w:val="0"/>
      <w:marTop w:val="0"/>
      <w:marBottom w:val="0"/>
      <w:divBdr>
        <w:top w:val="none" w:sz="0" w:space="0" w:color="auto"/>
        <w:left w:val="none" w:sz="0" w:space="0" w:color="auto"/>
        <w:bottom w:val="none" w:sz="0" w:space="0" w:color="auto"/>
        <w:right w:val="none" w:sz="0" w:space="0" w:color="auto"/>
      </w:divBdr>
      <w:divsChild>
        <w:div w:id="117770527">
          <w:marLeft w:val="0"/>
          <w:marRight w:val="0"/>
          <w:marTop w:val="0"/>
          <w:marBottom w:val="0"/>
          <w:divBdr>
            <w:top w:val="none" w:sz="0" w:space="0" w:color="auto"/>
            <w:left w:val="none" w:sz="0" w:space="0" w:color="auto"/>
            <w:bottom w:val="none" w:sz="0" w:space="0" w:color="auto"/>
            <w:right w:val="none" w:sz="0" w:space="0" w:color="auto"/>
          </w:divBdr>
          <w:divsChild>
            <w:div w:id="117770553">
              <w:marLeft w:val="0"/>
              <w:marRight w:val="0"/>
              <w:marTop w:val="0"/>
              <w:marBottom w:val="0"/>
              <w:divBdr>
                <w:top w:val="none" w:sz="0" w:space="0" w:color="auto"/>
                <w:left w:val="none" w:sz="0" w:space="0" w:color="auto"/>
                <w:bottom w:val="none" w:sz="0" w:space="0" w:color="auto"/>
                <w:right w:val="none" w:sz="0" w:space="0" w:color="auto"/>
              </w:divBdr>
              <w:divsChild>
                <w:div w:id="117770529">
                  <w:marLeft w:val="0"/>
                  <w:marRight w:val="0"/>
                  <w:marTop w:val="0"/>
                  <w:marBottom w:val="0"/>
                  <w:divBdr>
                    <w:top w:val="none" w:sz="0" w:space="0" w:color="auto"/>
                    <w:left w:val="none" w:sz="0" w:space="0" w:color="auto"/>
                    <w:bottom w:val="none" w:sz="0" w:space="0" w:color="auto"/>
                    <w:right w:val="none" w:sz="0" w:space="0" w:color="auto"/>
                  </w:divBdr>
                  <w:divsChild>
                    <w:div w:id="11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70534">
      <w:marLeft w:val="0"/>
      <w:marRight w:val="0"/>
      <w:marTop w:val="0"/>
      <w:marBottom w:val="150"/>
      <w:divBdr>
        <w:top w:val="none" w:sz="0" w:space="0" w:color="auto"/>
        <w:left w:val="none" w:sz="0" w:space="0" w:color="auto"/>
        <w:bottom w:val="none" w:sz="0" w:space="0" w:color="auto"/>
        <w:right w:val="none" w:sz="0" w:space="0" w:color="auto"/>
      </w:divBdr>
      <w:divsChild>
        <w:div w:id="117770545">
          <w:marLeft w:val="0"/>
          <w:marRight w:val="0"/>
          <w:marTop w:val="0"/>
          <w:marBottom w:val="0"/>
          <w:divBdr>
            <w:top w:val="none" w:sz="0" w:space="0" w:color="auto"/>
            <w:left w:val="none" w:sz="0" w:space="0" w:color="auto"/>
            <w:bottom w:val="none" w:sz="0" w:space="0" w:color="auto"/>
            <w:right w:val="none" w:sz="0" w:space="0" w:color="auto"/>
          </w:divBdr>
          <w:divsChild>
            <w:div w:id="117770532">
              <w:marLeft w:val="0"/>
              <w:marRight w:val="0"/>
              <w:marTop w:val="0"/>
              <w:marBottom w:val="0"/>
              <w:divBdr>
                <w:top w:val="none" w:sz="0" w:space="0" w:color="auto"/>
                <w:left w:val="none" w:sz="0" w:space="0" w:color="auto"/>
                <w:bottom w:val="none" w:sz="0" w:space="0" w:color="auto"/>
                <w:right w:val="none" w:sz="0" w:space="0" w:color="auto"/>
              </w:divBdr>
              <w:divsChild>
                <w:div w:id="117770536">
                  <w:marLeft w:val="3570"/>
                  <w:marRight w:val="0"/>
                  <w:marTop w:val="0"/>
                  <w:marBottom w:val="0"/>
                  <w:divBdr>
                    <w:top w:val="none" w:sz="0" w:space="0" w:color="auto"/>
                    <w:left w:val="none" w:sz="0" w:space="0" w:color="auto"/>
                    <w:bottom w:val="none" w:sz="0" w:space="0" w:color="auto"/>
                    <w:right w:val="none" w:sz="0" w:space="0" w:color="auto"/>
                  </w:divBdr>
                  <w:divsChild>
                    <w:div w:id="117770535">
                      <w:marLeft w:val="0"/>
                      <w:marRight w:val="0"/>
                      <w:marTop w:val="0"/>
                      <w:marBottom w:val="0"/>
                      <w:divBdr>
                        <w:top w:val="none" w:sz="0" w:space="0" w:color="auto"/>
                        <w:left w:val="none" w:sz="0" w:space="0" w:color="auto"/>
                        <w:bottom w:val="none" w:sz="0" w:space="0" w:color="auto"/>
                        <w:right w:val="none" w:sz="0" w:space="0" w:color="auto"/>
                      </w:divBdr>
                      <w:divsChild>
                        <w:div w:id="1177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0540">
      <w:marLeft w:val="0"/>
      <w:marRight w:val="0"/>
      <w:marTop w:val="0"/>
      <w:marBottom w:val="0"/>
      <w:divBdr>
        <w:top w:val="none" w:sz="0" w:space="0" w:color="auto"/>
        <w:left w:val="none" w:sz="0" w:space="0" w:color="auto"/>
        <w:bottom w:val="none" w:sz="0" w:space="0" w:color="auto"/>
        <w:right w:val="none" w:sz="0" w:space="0" w:color="auto"/>
      </w:divBdr>
      <w:divsChild>
        <w:div w:id="117770543">
          <w:marLeft w:val="0"/>
          <w:marRight w:val="0"/>
          <w:marTop w:val="0"/>
          <w:marBottom w:val="0"/>
          <w:divBdr>
            <w:top w:val="none" w:sz="0" w:space="0" w:color="auto"/>
            <w:left w:val="none" w:sz="0" w:space="0" w:color="auto"/>
            <w:bottom w:val="none" w:sz="0" w:space="0" w:color="auto"/>
            <w:right w:val="none" w:sz="0" w:space="0" w:color="auto"/>
          </w:divBdr>
          <w:divsChild>
            <w:div w:id="117770542">
              <w:marLeft w:val="3105"/>
              <w:marRight w:val="0"/>
              <w:marTop w:val="0"/>
              <w:marBottom w:val="0"/>
              <w:divBdr>
                <w:top w:val="none" w:sz="0" w:space="0" w:color="auto"/>
                <w:left w:val="none" w:sz="0" w:space="0" w:color="auto"/>
                <w:bottom w:val="none" w:sz="0" w:space="0" w:color="auto"/>
                <w:right w:val="none" w:sz="0" w:space="0" w:color="auto"/>
              </w:divBdr>
              <w:divsChild>
                <w:div w:id="117770537">
                  <w:marLeft w:val="0"/>
                  <w:marRight w:val="0"/>
                  <w:marTop w:val="0"/>
                  <w:marBottom w:val="0"/>
                  <w:divBdr>
                    <w:top w:val="none" w:sz="0" w:space="0" w:color="auto"/>
                    <w:left w:val="none" w:sz="0" w:space="0" w:color="auto"/>
                    <w:bottom w:val="none" w:sz="0" w:space="0" w:color="auto"/>
                    <w:right w:val="none" w:sz="0" w:space="0" w:color="auto"/>
                  </w:divBdr>
                  <w:divsChild>
                    <w:div w:id="117770538">
                      <w:marLeft w:val="0"/>
                      <w:marRight w:val="0"/>
                      <w:marTop w:val="0"/>
                      <w:marBottom w:val="0"/>
                      <w:divBdr>
                        <w:top w:val="none" w:sz="0" w:space="0" w:color="auto"/>
                        <w:left w:val="none" w:sz="0" w:space="0" w:color="auto"/>
                        <w:bottom w:val="none" w:sz="0" w:space="0" w:color="auto"/>
                        <w:right w:val="none" w:sz="0" w:space="0" w:color="auto"/>
                      </w:divBdr>
                      <w:divsChild>
                        <w:div w:id="117770544">
                          <w:marLeft w:val="0"/>
                          <w:marRight w:val="0"/>
                          <w:marTop w:val="0"/>
                          <w:marBottom w:val="0"/>
                          <w:divBdr>
                            <w:top w:val="none" w:sz="0" w:space="0" w:color="auto"/>
                            <w:left w:val="none" w:sz="0" w:space="0" w:color="auto"/>
                            <w:bottom w:val="none" w:sz="0" w:space="0" w:color="auto"/>
                            <w:right w:val="none" w:sz="0" w:space="0" w:color="auto"/>
                          </w:divBdr>
                          <w:divsChild>
                            <w:div w:id="117770539">
                              <w:marLeft w:val="0"/>
                              <w:marRight w:val="0"/>
                              <w:marTop w:val="120"/>
                              <w:marBottom w:val="120"/>
                              <w:divBdr>
                                <w:top w:val="none" w:sz="0" w:space="0" w:color="auto"/>
                                <w:left w:val="none" w:sz="0" w:space="0" w:color="auto"/>
                                <w:bottom w:val="none" w:sz="0" w:space="0" w:color="auto"/>
                                <w:right w:val="none" w:sz="0" w:space="0" w:color="auto"/>
                              </w:divBdr>
                              <w:divsChild>
                                <w:div w:id="1177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70550">
      <w:marLeft w:val="0"/>
      <w:marRight w:val="0"/>
      <w:marTop w:val="0"/>
      <w:marBottom w:val="0"/>
      <w:divBdr>
        <w:top w:val="none" w:sz="0" w:space="0" w:color="auto"/>
        <w:left w:val="none" w:sz="0" w:space="0" w:color="auto"/>
        <w:bottom w:val="none" w:sz="0" w:space="0" w:color="auto"/>
        <w:right w:val="none" w:sz="0" w:space="0" w:color="auto"/>
      </w:divBdr>
      <w:divsChild>
        <w:div w:id="117770531">
          <w:marLeft w:val="0"/>
          <w:marRight w:val="0"/>
          <w:marTop w:val="0"/>
          <w:marBottom w:val="0"/>
          <w:divBdr>
            <w:top w:val="none" w:sz="0" w:space="0" w:color="auto"/>
            <w:left w:val="none" w:sz="0" w:space="0" w:color="auto"/>
            <w:bottom w:val="none" w:sz="0" w:space="0" w:color="auto"/>
            <w:right w:val="none" w:sz="0" w:space="0" w:color="auto"/>
          </w:divBdr>
          <w:divsChild>
            <w:div w:id="117770551">
              <w:marLeft w:val="0"/>
              <w:marRight w:val="0"/>
              <w:marTop w:val="0"/>
              <w:marBottom w:val="0"/>
              <w:divBdr>
                <w:top w:val="none" w:sz="0" w:space="0" w:color="auto"/>
                <w:left w:val="none" w:sz="0" w:space="0" w:color="auto"/>
                <w:bottom w:val="none" w:sz="0" w:space="0" w:color="auto"/>
                <w:right w:val="none" w:sz="0" w:space="0" w:color="auto"/>
              </w:divBdr>
              <w:divsChild>
                <w:div w:id="117770549">
                  <w:marLeft w:val="0"/>
                  <w:marRight w:val="0"/>
                  <w:marTop w:val="0"/>
                  <w:marBottom w:val="0"/>
                  <w:divBdr>
                    <w:top w:val="none" w:sz="0" w:space="0" w:color="auto"/>
                    <w:left w:val="none" w:sz="0" w:space="0" w:color="auto"/>
                    <w:bottom w:val="none" w:sz="0" w:space="0" w:color="auto"/>
                    <w:right w:val="none" w:sz="0" w:space="0" w:color="auto"/>
                  </w:divBdr>
                  <w:divsChild>
                    <w:div w:id="117770547">
                      <w:marLeft w:val="0"/>
                      <w:marRight w:val="0"/>
                      <w:marTop w:val="0"/>
                      <w:marBottom w:val="0"/>
                      <w:divBdr>
                        <w:top w:val="none" w:sz="0" w:space="0" w:color="auto"/>
                        <w:left w:val="none" w:sz="0" w:space="0" w:color="auto"/>
                        <w:bottom w:val="none" w:sz="0" w:space="0" w:color="auto"/>
                        <w:right w:val="none" w:sz="0" w:space="0" w:color="auto"/>
                      </w:divBdr>
                      <w:divsChild>
                        <w:div w:id="117770552">
                          <w:marLeft w:val="0"/>
                          <w:marRight w:val="0"/>
                          <w:marTop w:val="0"/>
                          <w:marBottom w:val="0"/>
                          <w:divBdr>
                            <w:top w:val="none" w:sz="0" w:space="0" w:color="auto"/>
                            <w:left w:val="none" w:sz="0" w:space="0" w:color="auto"/>
                            <w:bottom w:val="none" w:sz="0" w:space="0" w:color="auto"/>
                            <w:right w:val="none" w:sz="0" w:space="0" w:color="auto"/>
                          </w:divBdr>
                          <w:divsChild>
                            <w:div w:id="117770546">
                              <w:marLeft w:val="0"/>
                              <w:marRight w:val="0"/>
                              <w:marTop w:val="0"/>
                              <w:marBottom w:val="0"/>
                              <w:divBdr>
                                <w:top w:val="none" w:sz="0" w:space="0" w:color="auto"/>
                                <w:left w:val="none" w:sz="0" w:space="0" w:color="auto"/>
                                <w:bottom w:val="none" w:sz="0" w:space="0" w:color="auto"/>
                                <w:right w:val="none" w:sz="0" w:space="0" w:color="auto"/>
                              </w:divBdr>
                              <w:divsChild>
                                <w:div w:id="1177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inder.amrith@lancashire.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vinder.amrith@lancashire.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7A1C7-5A94-4BEF-BA72-4E115DDC7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Template>
  <TotalTime>57</TotalTime>
  <Pages>10</Pages>
  <Words>4744</Words>
  <Characters>23670</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VG105</vt:lpstr>
    </vt:vector>
  </TitlesOfParts>
  <Company> </Company>
  <LinksUpToDate>false</LinksUpToDate>
  <CharactersWithSpaces>28358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VG105</dc:title>
  <dc:subject/>
  <dc:creator>Lancashire Council</dc:creator>
  <cp:keywords>Council meetings;Government, politics and public administration; Local government; Decision making; Council meetings;</cp:keywords>
  <dc:description>August 2009</dc:description>
  <cp:lastModifiedBy>jmynott002</cp:lastModifiedBy>
  <cp:revision>9</cp:revision>
  <cp:lastPrinted>2013-04-16T14:22:00Z</cp:lastPrinted>
  <dcterms:created xsi:type="dcterms:W3CDTF">2013-04-18T08:28:00Z</dcterms:created>
  <dcterms:modified xsi:type="dcterms:W3CDTF">2013-04-18T09:40:00Z</dcterms:modified>
</cp:coreProperties>
</file>